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5C8" w:rsidRDefault="00B655C8" w:rsidP="00B655C8">
      <w:pPr>
        <w:spacing w:line="480" w:lineRule="auto"/>
        <w:rPr>
          <w:rFonts w:hint="cs"/>
          <w:sz w:val="16"/>
          <w:szCs w:val="16"/>
          <w:rtl/>
        </w:rPr>
      </w:pPr>
      <w:r>
        <w:rPr>
          <w:rFonts w:hint="eastAsia"/>
          <w:sz w:val="16"/>
          <w:szCs w:val="16"/>
          <w:rtl/>
        </w:rPr>
        <w:t>בס</w:t>
      </w:r>
      <w:r>
        <w:rPr>
          <w:sz w:val="16"/>
          <w:szCs w:val="16"/>
          <w:rtl/>
        </w:rPr>
        <w:t>"</w:t>
      </w:r>
      <w:r>
        <w:rPr>
          <w:rFonts w:hint="eastAsia"/>
          <w:sz w:val="16"/>
          <w:szCs w:val="16"/>
          <w:rtl/>
        </w:rPr>
        <w:t>ד</w:t>
      </w:r>
    </w:p>
    <w:tbl>
      <w:tblPr>
        <w:bidiVisual/>
        <w:tblW w:w="9364" w:type="dxa"/>
        <w:jc w:val="center"/>
        <w:tblInd w:w="-518" w:type="dxa"/>
        <w:tblLayout w:type="fixed"/>
        <w:tblLook w:val="0000"/>
      </w:tblPr>
      <w:tblGrid>
        <w:gridCol w:w="3288"/>
        <w:gridCol w:w="833"/>
        <w:gridCol w:w="1440"/>
        <w:gridCol w:w="603"/>
        <w:gridCol w:w="3171"/>
        <w:gridCol w:w="29"/>
      </w:tblGrid>
      <w:tr w:rsidR="00B655C8">
        <w:tblPrEx>
          <w:tblCellMar>
            <w:top w:w="0" w:type="dxa"/>
            <w:bottom w:w="0" w:type="dxa"/>
          </w:tblCellMar>
        </w:tblPrEx>
        <w:trPr>
          <w:gridAfter w:val="1"/>
          <w:trHeight w:val="1060"/>
          <w:jc w:val="center"/>
        </w:trPr>
        <w:tc>
          <w:tcPr>
            <w:tcW w:w="4071" w:type="dxa"/>
            <w:gridSpan w:val="2"/>
          </w:tcPr>
          <w:p w:rsidR="00B655C8" w:rsidRDefault="00B655C8" w:rsidP="00B655C8">
            <w:pPr>
              <w:jc w:val="right"/>
              <w:rPr>
                <w:rFonts w:ascii="Arial" w:hAnsi="Arial" w:cs="Arial" w:hint="cs"/>
                <w:b/>
                <w:bCs/>
                <w:color w:val="333399"/>
                <w:sz w:val="26"/>
                <w:szCs w:val="26"/>
                <w:rtl/>
              </w:rPr>
            </w:pPr>
            <w:r>
              <w:rPr>
                <w:rFonts w:ascii="Arial" w:hAnsi="Arial" w:cs="Arial"/>
                <w:b/>
                <w:bCs/>
                <w:color w:val="333399"/>
                <w:rtl/>
              </w:rPr>
              <w:t xml:space="preserve">הקליניקה </w:t>
            </w:r>
            <w:r>
              <w:rPr>
                <w:rFonts w:ascii="Arial" w:hAnsi="Arial" w:cs="Arial" w:hint="cs"/>
                <w:b/>
                <w:bCs/>
                <w:color w:val="333399"/>
                <w:rtl/>
              </w:rPr>
              <w:t xml:space="preserve">לפרקטיקה ומדיניות </w:t>
            </w:r>
            <w:r>
              <w:rPr>
                <w:rFonts w:ascii="Arial" w:hAnsi="Arial" w:cs="Arial"/>
                <w:b/>
                <w:bCs/>
                <w:color w:val="333399"/>
                <w:rtl/>
              </w:rPr>
              <w:t xml:space="preserve">סביבתית, </w:t>
            </w:r>
            <w:r>
              <w:rPr>
                <w:rFonts w:ascii="Arial" w:hAnsi="Arial" w:cs="Arial"/>
                <w:b/>
                <w:bCs/>
                <w:color w:val="333399"/>
              </w:rPr>
              <w:br/>
            </w:r>
            <w:r>
              <w:rPr>
                <w:rFonts w:ascii="Arial" w:hAnsi="Arial" w:cs="Arial"/>
                <w:b/>
                <w:bCs/>
                <w:color w:val="333399"/>
                <w:rtl/>
              </w:rPr>
              <w:t>הפקולטה למשפטים ע"ש יעקב הרצוג, אוניברסיטת בר-אילן</w:t>
            </w:r>
          </w:p>
        </w:tc>
        <w:tc>
          <w:tcPr>
            <w:tcW w:w="1423" w:type="dxa"/>
          </w:tcPr>
          <w:p w:rsidR="00B655C8" w:rsidRDefault="003D7647" w:rsidP="00B655C8">
            <w:pPr>
              <w:jc w:val="right"/>
              <w:rPr>
                <w:rFonts w:hint="cs"/>
                <w:rtl/>
              </w:rPr>
            </w:pPr>
            <w:r>
              <w:rPr>
                <w:rFonts w:cs="Narkisim"/>
                <w:noProof/>
                <w:color w:val="808080"/>
                <w:szCs w:val="22"/>
                <w:rtl/>
                <w:lang w:eastAsia="en-US"/>
              </w:rPr>
              <w:drawing>
                <wp:inline distT="0" distB="0" distL="0" distR="0">
                  <wp:extent cx="685800" cy="590550"/>
                  <wp:effectExtent l="19050" t="0" r="0" b="0"/>
                  <wp:docPr id="1" name="תמונה 1" descr="si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
                          <pic:cNvPicPr>
                            <a:picLocks noChangeAspect="1" noChangeArrowheads="1"/>
                          </pic:cNvPicPr>
                        </pic:nvPicPr>
                        <pic:blipFill>
                          <a:blip r:embed="rId7" cstate="print"/>
                          <a:srcRect/>
                          <a:stretch>
                            <a:fillRect/>
                          </a:stretch>
                        </pic:blipFill>
                        <pic:spPr bwMode="auto">
                          <a:xfrm>
                            <a:off x="0" y="0"/>
                            <a:ext cx="685800" cy="590550"/>
                          </a:xfrm>
                          <a:prstGeom prst="rect">
                            <a:avLst/>
                          </a:prstGeom>
                          <a:noFill/>
                          <a:ln w="9525">
                            <a:noFill/>
                            <a:miter lim="800000"/>
                            <a:headEnd/>
                            <a:tailEnd/>
                          </a:ln>
                        </pic:spPr>
                      </pic:pic>
                    </a:graphicData>
                  </a:graphic>
                </wp:inline>
              </w:drawing>
            </w:r>
          </w:p>
        </w:tc>
        <w:tc>
          <w:tcPr>
            <w:tcW w:w="3729" w:type="dxa"/>
            <w:gridSpan w:val="2"/>
          </w:tcPr>
          <w:p w:rsidR="00B655C8" w:rsidRDefault="00B655C8" w:rsidP="00B655C8">
            <w:pPr>
              <w:bidi w:val="0"/>
              <w:rPr>
                <w:b/>
                <w:bCs/>
                <w:color w:val="333399"/>
              </w:rPr>
            </w:pPr>
            <w:r>
              <w:rPr>
                <w:b/>
                <w:bCs/>
                <w:color w:val="333399"/>
              </w:rPr>
              <w:t xml:space="preserve">Environmental Clinic, </w:t>
            </w:r>
            <w:r>
              <w:rPr>
                <w:b/>
                <w:bCs/>
                <w:color w:val="333399"/>
              </w:rPr>
              <w:br/>
              <w:t xml:space="preserve">The </w:t>
            </w:r>
            <w:smartTag w:uri="urn:schemas-microsoft-com:office:smarttags" w:element="PersonName">
              <w:smartTagPr>
                <w:attr w:name="ProductID" w:val="Yaacov Herzog"/>
              </w:smartTagPr>
              <w:r>
                <w:rPr>
                  <w:b/>
                  <w:bCs/>
                  <w:color w:val="333399"/>
                </w:rPr>
                <w:t>Yaacov Herzog</w:t>
              </w:r>
            </w:smartTag>
            <w:r>
              <w:rPr>
                <w:b/>
                <w:bCs/>
                <w:color w:val="333399"/>
              </w:rPr>
              <w:t xml:space="preserve"> Faculty of Law, </w:t>
            </w:r>
            <w:smartTag w:uri="urn:schemas-microsoft-com:office:smarttags" w:element="place">
              <w:smartTag w:uri="urn:schemas-microsoft-com:office:smarttags" w:element="PlaceName">
                <w:r>
                  <w:rPr>
                    <w:b/>
                    <w:bCs/>
                    <w:color w:val="333399"/>
                  </w:rPr>
                  <w:t>Bar-Ilan</w:t>
                </w:r>
              </w:smartTag>
              <w:r>
                <w:rPr>
                  <w:b/>
                  <w:bCs/>
                  <w:color w:val="333399"/>
                </w:rPr>
                <w:t xml:space="preserve"> </w:t>
              </w:r>
              <w:smartTag w:uri="urn:schemas-microsoft-com:office:smarttags" w:element="PlaceType">
                <w:r>
                  <w:rPr>
                    <w:b/>
                    <w:bCs/>
                    <w:color w:val="333399"/>
                  </w:rPr>
                  <w:t>University</w:t>
                </w:r>
              </w:smartTag>
            </w:smartTag>
          </w:p>
        </w:tc>
      </w:tr>
      <w:tr w:rsidR="00B655C8">
        <w:tblPrEx>
          <w:jc w:val="left"/>
          <w:tblCellMar>
            <w:top w:w="0" w:type="dxa"/>
            <w:bottom w:w="0" w:type="dxa"/>
          </w:tblCellMar>
        </w:tblPrEx>
        <w:tc>
          <w:tcPr>
            <w:tcW w:w="3248" w:type="dxa"/>
          </w:tcPr>
          <w:p w:rsidR="00B655C8" w:rsidRDefault="00B655C8" w:rsidP="00B655C8">
            <w:pPr>
              <w:pStyle w:val="a7"/>
              <w:jc w:val="center"/>
              <w:rPr>
                <w:rFonts w:cs="Arial"/>
                <w:color w:val="000000"/>
                <w:szCs w:val="18"/>
                <w:rtl/>
              </w:rPr>
            </w:pPr>
            <w:r>
              <w:rPr>
                <w:rFonts w:cs="Arial"/>
                <w:color w:val="000000"/>
                <w:szCs w:val="18"/>
                <w:rtl/>
              </w:rPr>
              <w:t xml:space="preserve">רמת-גן </w:t>
            </w:r>
            <w:r>
              <w:rPr>
                <w:color w:val="000000"/>
                <w:szCs w:val="18"/>
                <w:rtl/>
              </w:rPr>
              <w:t>52900</w:t>
            </w:r>
            <w:r>
              <w:rPr>
                <w:rFonts w:cs="Arial"/>
                <w:color w:val="000000"/>
                <w:szCs w:val="18"/>
                <w:rtl/>
              </w:rPr>
              <w:t>, ישראל</w:t>
            </w:r>
          </w:p>
        </w:tc>
        <w:tc>
          <w:tcPr>
            <w:tcW w:w="2842" w:type="dxa"/>
            <w:gridSpan w:val="3"/>
          </w:tcPr>
          <w:p w:rsidR="00B655C8" w:rsidRDefault="00B655C8" w:rsidP="00B655C8">
            <w:pPr>
              <w:pStyle w:val="a7"/>
              <w:jc w:val="center"/>
              <w:rPr>
                <w:rFonts w:cs="Narkisim" w:hint="cs"/>
                <w:color w:val="000000"/>
                <w:szCs w:val="22"/>
                <w:rtl/>
              </w:rPr>
            </w:pPr>
          </w:p>
        </w:tc>
        <w:tc>
          <w:tcPr>
            <w:tcW w:w="3162" w:type="dxa"/>
            <w:gridSpan w:val="2"/>
          </w:tcPr>
          <w:p w:rsidR="00B655C8" w:rsidRDefault="00B655C8" w:rsidP="00B655C8">
            <w:pPr>
              <w:pStyle w:val="a7"/>
              <w:bidi w:val="0"/>
              <w:ind w:firstLine="424"/>
              <w:jc w:val="center"/>
              <w:rPr>
                <w:rFonts w:ascii="Arial" w:hAnsi="Arial"/>
                <w:color w:val="000000"/>
                <w:sz w:val="18"/>
                <w:rtl/>
              </w:rPr>
            </w:pPr>
            <w:smartTag w:uri="urn:schemas-microsoft-com:office:smarttags" w:element="place">
              <w:smartTag w:uri="urn:schemas-microsoft-com:office:smarttags" w:element="City">
                <w:r>
                  <w:rPr>
                    <w:rFonts w:ascii="Arial" w:hAnsi="Arial"/>
                    <w:color w:val="000000"/>
                    <w:sz w:val="18"/>
                  </w:rPr>
                  <w:t>Ramat-Gan</w:t>
                </w:r>
              </w:smartTag>
              <w:r>
                <w:rPr>
                  <w:rFonts w:ascii="Arial" w:hAnsi="Arial"/>
                  <w:color w:val="000000"/>
                  <w:sz w:val="18"/>
                </w:rPr>
                <w:t xml:space="preserve"> </w:t>
              </w:r>
              <w:smartTag w:uri="urn:schemas-microsoft-com:office:smarttags" w:element="PostalCode">
                <w:r>
                  <w:rPr>
                    <w:rFonts w:ascii="Arial" w:hAnsi="Arial"/>
                    <w:color w:val="000000"/>
                    <w:sz w:val="18"/>
                  </w:rPr>
                  <w:t>52900</w:t>
                </w:r>
              </w:smartTag>
              <w:r>
                <w:rPr>
                  <w:rFonts w:ascii="Arial" w:hAnsi="Arial"/>
                  <w:color w:val="000000"/>
                  <w:sz w:val="18"/>
                </w:rPr>
                <w:t xml:space="preserve">, </w:t>
              </w:r>
              <w:smartTag w:uri="urn:schemas-microsoft-com:office:smarttags" w:element="country-region">
                <w:r>
                  <w:rPr>
                    <w:rFonts w:ascii="Arial" w:hAnsi="Arial"/>
                    <w:color w:val="000000"/>
                    <w:sz w:val="18"/>
                  </w:rPr>
                  <w:t>Israel</w:t>
                </w:r>
              </w:smartTag>
            </w:smartTag>
          </w:p>
        </w:tc>
      </w:tr>
      <w:tr w:rsidR="00B655C8">
        <w:tblPrEx>
          <w:jc w:val="left"/>
          <w:tblCellMar>
            <w:top w:w="0" w:type="dxa"/>
            <w:bottom w:w="0" w:type="dxa"/>
          </w:tblCellMar>
        </w:tblPrEx>
        <w:tc>
          <w:tcPr>
            <w:tcW w:w="3248" w:type="dxa"/>
          </w:tcPr>
          <w:p w:rsidR="00B655C8" w:rsidRDefault="00B655C8" w:rsidP="00B655C8">
            <w:pPr>
              <w:pStyle w:val="a7"/>
              <w:jc w:val="center"/>
              <w:rPr>
                <w:rFonts w:cs="Narkisim"/>
                <w:b/>
                <w:bCs/>
                <w:color w:val="000000"/>
                <w:szCs w:val="22"/>
                <w:rtl/>
              </w:rPr>
            </w:pPr>
          </w:p>
        </w:tc>
        <w:tc>
          <w:tcPr>
            <w:tcW w:w="2842" w:type="dxa"/>
            <w:gridSpan w:val="3"/>
          </w:tcPr>
          <w:p w:rsidR="00B655C8" w:rsidRDefault="00B655C8" w:rsidP="00B655C8">
            <w:pPr>
              <w:pStyle w:val="a7"/>
              <w:jc w:val="center"/>
              <w:rPr>
                <w:rFonts w:cs="Arial"/>
                <w:color w:val="000000"/>
                <w:sz w:val="16"/>
                <w:szCs w:val="16"/>
                <w:rtl/>
              </w:rPr>
            </w:pPr>
            <w:r>
              <w:rPr>
                <w:rFonts w:cs="Arial"/>
                <w:color w:val="000000"/>
                <w:sz w:val="16"/>
                <w:szCs w:val="16"/>
                <w:rtl/>
              </w:rPr>
              <w:t>טל (ע):</w:t>
            </w:r>
            <w:r>
              <w:rPr>
                <w:rFonts w:cs="Arial" w:hint="cs"/>
                <w:color w:val="000000"/>
                <w:sz w:val="16"/>
                <w:szCs w:val="16"/>
                <w:rtl/>
              </w:rPr>
              <w:t>972-3-5317798</w:t>
            </w:r>
            <w:r>
              <w:rPr>
                <w:rFonts w:cs="Arial"/>
                <w:color w:val="000000"/>
                <w:sz w:val="16"/>
                <w:szCs w:val="16"/>
              </w:rPr>
              <w:t xml:space="preserve"> Tel (O):</w:t>
            </w:r>
          </w:p>
        </w:tc>
        <w:tc>
          <w:tcPr>
            <w:tcW w:w="3162" w:type="dxa"/>
            <w:gridSpan w:val="2"/>
          </w:tcPr>
          <w:p w:rsidR="00B655C8" w:rsidRDefault="00B655C8" w:rsidP="00B655C8">
            <w:pPr>
              <w:pStyle w:val="a7"/>
              <w:jc w:val="right"/>
              <w:rPr>
                <w:color w:val="000000"/>
                <w:rtl/>
              </w:rPr>
            </w:pPr>
          </w:p>
        </w:tc>
      </w:tr>
      <w:tr w:rsidR="00B655C8">
        <w:tblPrEx>
          <w:jc w:val="left"/>
          <w:tblCellMar>
            <w:top w:w="0" w:type="dxa"/>
            <w:bottom w:w="0" w:type="dxa"/>
          </w:tblCellMar>
        </w:tblPrEx>
        <w:tc>
          <w:tcPr>
            <w:tcW w:w="3248" w:type="dxa"/>
          </w:tcPr>
          <w:p w:rsidR="00B655C8" w:rsidRDefault="00B655C8" w:rsidP="00B655C8">
            <w:pPr>
              <w:pStyle w:val="a7"/>
              <w:jc w:val="center"/>
              <w:rPr>
                <w:rFonts w:cs="Arial"/>
                <w:b/>
                <w:bCs/>
                <w:color w:val="000000"/>
                <w:sz w:val="22"/>
                <w:szCs w:val="22"/>
                <w:rtl/>
              </w:rPr>
            </w:pPr>
            <w:r>
              <w:rPr>
                <w:rFonts w:cs="Arial" w:hint="cs"/>
                <w:b/>
                <w:bCs/>
                <w:color w:val="000000"/>
                <w:sz w:val="22"/>
                <w:szCs w:val="22"/>
                <w:rtl/>
              </w:rPr>
              <w:t xml:space="preserve">ד"ר </w:t>
            </w:r>
            <w:r>
              <w:rPr>
                <w:rFonts w:cs="Arial"/>
                <w:b/>
                <w:bCs/>
                <w:color w:val="000000"/>
                <w:sz w:val="22"/>
                <w:szCs w:val="22"/>
                <w:rtl/>
              </w:rPr>
              <w:t>אורן פרז</w:t>
            </w:r>
          </w:p>
        </w:tc>
        <w:tc>
          <w:tcPr>
            <w:tcW w:w="2842" w:type="dxa"/>
            <w:gridSpan w:val="3"/>
          </w:tcPr>
          <w:p w:rsidR="00B655C8" w:rsidRDefault="00B655C8" w:rsidP="00B655C8">
            <w:pPr>
              <w:pStyle w:val="a7"/>
              <w:jc w:val="center"/>
              <w:rPr>
                <w:rFonts w:cs="Arial"/>
                <w:color w:val="000000"/>
                <w:sz w:val="16"/>
                <w:szCs w:val="16"/>
                <w:rtl/>
              </w:rPr>
            </w:pPr>
            <w:r>
              <w:rPr>
                <w:rFonts w:cs="Arial" w:hint="cs"/>
                <w:color w:val="000000"/>
                <w:sz w:val="16"/>
                <w:szCs w:val="16"/>
                <w:rtl/>
              </w:rPr>
              <w:t>(מ</w:t>
            </w:r>
            <w:r>
              <w:rPr>
                <w:rFonts w:cs="Arial"/>
                <w:color w:val="000000"/>
                <w:sz w:val="16"/>
                <w:szCs w:val="16"/>
                <w:rtl/>
              </w:rPr>
              <w:t>):</w:t>
            </w:r>
            <w:r>
              <w:rPr>
                <w:rFonts w:cs="Arial" w:hint="cs"/>
                <w:color w:val="000000"/>
                <w:sz w:val="16"/>
                <w:szCs w:val="16"/>
                <w:rtl/>
              </w:rPr>
              <w:t>054-964748</w:t>
            </w:r>
            <w:r>
              <w:rPr>
                <w:rFonts w:cs="Arial"/>
                <w:color w:val="000000"/>
                <w:sz w:val="16"/>
                <w:szCs w:val="16"/>
                <w:rtl/>
              </w:rPr>
              <w:t xml:space="preserve"> </w:t>
            </w:r>
            <w:r>
              <w:rPr>
                <w:rFonts w:cs="Arial"/>
                <w:color w:val="000000"/>
                <w:sz w:val="16"/>
                <w:szCs w:val="16"/>
              </w:rPr>
              <w:t>(H):</w:t>
            </w:r>
          </w:p>
        </w:tc>
        <w:tc>
          <w:tcPr>
            <w:tcW w:w="3162" w:type="dxa"/>
            <w:gridSpan w:val="2"/>
          </w:tcPr>
          <w:p w:rsidR="00B655C8" w:rsidRDefault="00B655C8" w:rsidP="00B655C8">
            <w:pPr>
              <w:pStyle w:val="a7"/>
              <w:jc w:val="center"/>
              <w:rPr>
                <w:b/>
                <w:bCs/>
                <w:color w:val="000000"/>
                <w:sz w:val="22"/>
                <w:rtl/>
              </w:rPr>
            </w:pPr>
            <w:r>
              <w:rPr>
                <w:b/>
                <w:bCs/>
                <w:color w:val="000000"/>
                <w:sz w:val="22"/>
              </w:rPr>
              <w:t>Oren Perez, PhD</w:t>
            </w:r>
          </w:p>
        </w:tc>
      </w:tr>
      <w:tr w:rsidR="00B655C8">
        <w:tblPrEx>
          <w:jc w:val="left"/>
          <w:tblCellMar>
            <w:top w:w="0" w:type="dxa"/>
            <w:bottom w:w="0" w:type="dxa"/>
          </w:tblCellMar>
        </w:tblPrEx>
        <w:tc>
          <w:tcPr>
            <w:tcW w:w="3248" w:type="dxa"/>
          </w:tcPr>
          <w:p w:rsidR="00B655C8" w:rsidRDefault="00B655C8" w:rsidP="00B655C8">
            <w:pPr>
              <w:pStyle w:val="a7"/>
              <w:jc w:val="center"/>
              <w:rPr>
                <w:rFonts w:ascii="Arial" w:hAnsi="Arial" w:cs="Arial" w:hint="cs"/>
                <w:b/>
                <w:bCs/>
                <w:color w:val="000000"/>
                <w:szCs w:val="22"/>
                <w:rtl/>
              </w:rPr>
            </w:pPr>
            <w:r>
              <w:rPr>
                <w:rFonts w:ascii="Arial" w:hAnsi="Arial" w:cs="Arial"/>
                <w:b/>
                <w:bCs/>
                <w:color w:val="000000"/>
                <w:szCs w:val="22"/>
                <w:rtl/>
              </w:rPr>
              <w:t>עו</w:t>
            </w:r>
            <w:r>
              <w:rPr>
                <w:rFonts w:ascii="Arial" w:hAnsi="Arial" w:cs="Arial" w:hint="cs"/>
                <w:b/>
                <w:bCs/>
                <w:color w:val="000000"/>
                <w:szCs w:val="22"/>
                <w:rtl/>
              </w:rPr>
              <w:t>"ד</w:t>
            </w:r>
            <w:r>
              <w:rPr>
                <w:rFonts w:ascii="Arial" w:hAnsi="Arial" w:cs="Arial"/>
                <w:b/>
                <w:bCs/>
                <w:color w:val="000000"/>
                <w:szCs w:val="22"/>
                <w:rtl/>
              </w:rPr>
              <w:t xml:space="preserve"> </w:t>
            </w:r>
            <w:r>
              <w:rPr>
                <w:rFonts w:ascii="Arial" w:hAnsi="Arial" w:cs="Arial" w:hint="cs"/>
                <w:b/>
                <w:bCs/>
                <w:color w:val="000000"/>
                <w:szCs w:val="22"/>
                <w:rtl/>
              </w:rPr>
              <w:t>חנן מנדל</w:t>
            </w:r>
          </w:p>
        </w:tc>
        <w:tc>
          <w:tcPr>
            <w:tcW w:w="2842" w:type="dxa"/>
            <w:gridSpan w:val="3"/>
          </w:tcPr>
          <w:p w:rsidR="00B655C8" w:rsidRDefault="00B655C8" w:rsidP="00B655C8">
            <w:pPr>
              <w:pStyle w:val="a7"/>
              <w:jc w:val="center"/>
              <w:rPr>
                <w:rFonts w:cs="Arial"/>
                <w:color w:val="000000"/>
                <w:sz w:val="16"/>
                <w:szCs w:val="16"/>
                <w:rtl/>
              </w:rPr>
            </w:pPr>
          </w:p>
        </w:tc>
        <w:tc>
          <w:tcPr>
            <w:tcW w:w="3162" w:type="dxa"/>
            <w:gridSpan w:val="2"/>
          </w:tcPr>
          <w:p w:rsidR="00B655C8" w:rsidRDefault="00B655C8" w:rsidP="00B655C8">
            <w:pPr>
              <w:pStyle w:val="a7"/>
              <w:bidi w:val="0"/>
              <w:jc w:val="center"/>
              <w:rPr>
                <w:b/>
                <w:bCs/>
                <w:color w:val="000000"/>
                <w:sz w:val="22"/>
                <w:rtl/>
              </w:rPr>
            </w:pPr>
            <w:r>
              <w:rPr>
                <w:b/>
                <w:bCs/>
                <w:color w:val="000000"/>
                <w:sz w:val="22"/>
              </w:rPr>
              <w:t>Hanan Mandel, Adv., LL.M.</w:t>
            </w:r>
          </w:p>
        </w:tc>
      </w:tr>
      <w:tr w:rsidR="00B655C8">
        <w:tblPrEx>
          <w:jc w:val="left"/>
          <w:tblCellMar>
            <w:top w:w="0" w:type="dxa"/>
            <w:bottom w:w="0" w:type="dxa"/>
          </w:tblCellMar>
        </w:tblPrEx>
        <w:tc>
          <w:tcPr>
            <w:tcW w:w="3248" w:type="dxa"/>
          </w:tcPr>
          <w:p w:rsidR="00B655C8" w:rsidRDefault="00B655C8" w:rsidP="00B655C8">
            <w:pPr>
              <w:pStyle w:val="a7"/>
              <w:jc w:val="center"/>
              <w:rPr>
                <w:rFonts w:ascii="Arial" w:hAnsi="Arial" w:cs="Arial" w:hint="cs"/>
                <w:b/>
                <w:bCs/>
                <w:color w:val="000000"/>
                <w:szCs w:val="22"/>
                <w:rtl/>
              </w:rPr>
            </w:pPr>
            <w:r>
              <w:rPr>
                <w:rFonts w:ascii="Arial" w:hAnsi="Arial" w:cs="Arial" w:hint="cs"/>
                <w:b/>
                <w:bCs/>
                <w:color w:val="000000"/>
                <w:szCs w:val="22"/>
                <w:rtl/>
              </w:rPr>
              <w:t>עו"ד יובל קינן</w:t>
            </w:r>
          </w:p>
        </w:tc>
        <w:tc>
          <w:tcPr>
            <w:tcW w:w="2842" w:type="dxa"/>
            <w:gridSpan w:val="3"/>
          </w:tcPr>
          <w:p w:rsidR="00B655C8" w:rsidRDefault="00B655C8" w:rsidP="00B655C8">
            <w:pPr>
              <w:pStyle w:val="a7"/>
              <w:jc w:val="center"/>
              <w:rPr>
                <w:rFonts w:cs="Arial"/>
                <w:color w:val="000000"/>
                <w:sz w:val="16"/>
                <w:szCs w:val="16"/>
                <w:rtl/>
              </w:rPr>
            </w:pPr>
            <w:r>
              <w:rPr>
                <w:rFonts w:cs="Arial"/>
                <w:color w:val="000000"/>
                <w:sz w:val="16"/>
                <w:szCs w:val="16"/>
                <w:rtl/>
              </w:rPr>
              <w:t xml:space="preserve">פקס:972-3-5351856 </w:t>
            </w:r>
            <w:r>
              <w:rPr>
                <w:rFonts w:cs="Arial"/>
                <w:color w:val="000000"/>
                <w:sz w:val="16"/>
                <w:szCs w:val="16"/>
              </w:rPr>
              <w:t>Fax:</w:t>
            </w:r>
          </w:p>
        </w:tc>
        <w:tc>
          <w:tcPr>
            <w:tcW w:w="3162" w:type="dxa"/>
            <w:gridSpan w:val="2"/>
          </w:tcPr>
          <w:p w:rsidR="00B655C8" w:rsidRDefault="00B655C8" w:rsidP="00B655C8">
            <w:pPr>
              <w:pStyle w:val="a7"/>
              <w:bidi w:val="0"/>
              <w:jc w:val="center"/>
              <w:rPr>
                <w:b/>
                <w:bCs/>
                <w:color w:val="000000"/>
                <w:sz w:val="22"/>
                <w:rtl/>
              </w:rPr>
            </w:pPr>
            <w:r>
              <w:rPr>
                <w:b/>
                <w:bCs/>
                <w:color w:val="000000"/>
                <w:sz w:val="22"/>
              </w:rPr>
              <w:t>Yuval Kienan, Adv., LL.B.</w:t>
            </w:r>
          </w:p>
        </w:tc>
      </w:tr>
      <w:tr w:rsidR="00B655C8">
        <w:tblPrEx>
          <w:jc w:val="left"/>
          <w:tblCellMar>
            <w:top w:w="0" w:type="dxa"/>
            <w:bottom w:w="0" w:type="dxa"/>
          </w:tblCellMar>
        </w:tblPrEx>
        <w:trPr>
          <w:cantSplit/>
          <w:trHeight w:val="183"/>
        </w:trPr>
        <w:tc>
          <w:tcPr>
            <w:tcW w:w="9252" w:type="dxa"/>
            <w:gridSpan w:val="6"/>
          </w:tcPr>
          <w:p w:rsidR="00B655C8" w:rsidRDefault="00B655C8" w:rsidP="005E550F">
            <w:pPr>
              <w:pStyle w:val="a7"/>
              <w:jc w:val="center"/>
              <w:rPr>
                <w:rFonts w:cs="Arial"/>
                <w:color w:val="000000"/>
              </w:rPr>
            </w:pPr>
            <w:r>
              <w:rPr>
                <w:rFonts w:cs="Arial"/>
                <w:color w:val="000000"/>
                <w:rtl/>
              </w:rPr>
              <w:t>דואר אלקטרוני:</w:t>
            </w:r>
            <w:r>
              <w:rPr>
                <w:rFonts w:cs="Arial" w:hint="cs"/>
                <w:color w:val="000000"/>
                <w:rtl/>
              </w:rPr>
              <w:t xml:space="preserve"> </w:t>
            </w:r>
            <w:hyperlink r:id="rId8" w:history="1">
              <w:r w:rsidR="005E550F" w:rsidRPr="00BE1839">
                <w:rPr>
                  <w:rStyle w:val="Hyperlink"/>
                  <w:rFonts w:cs="Arial"/>
                </w:rPr>
                <w:t>mandelh@mail.biu.ac.il</w:t>
              </w:r>
            </w:hyperlink>
            <w:r w:rsidR="005E550F">
              <w:rPr>
                <w:rFonts w:cs="Arial"/>
                <w:color w:val="000000"/>
              </w:rPr>
              <w:t xml:space="preserve">e-mail: </w:t>
            </w:r>
          </w:p>
          <w:p w:rsidR="00B655C8" w:rsidRDefault="005E550F" w:rsidP="00B655C8">
            <w:pPr>
              <w:pStyle w:val="a7"/>
              <w:jc w:val="center"/>
              <w:rPr>
                <w:rFonts w:cs="Arial"/>
                <w:color w:val="000000"/>
              </w:rPr>
            </w:pPr>
            <w:r>
              <w:rPr>
                <w:rFonts w:cs="Arial" w:hint="cs"/>
                <w:color w:val="000000"/>
                <w:rtl/>
              </w:rPr>
              <w:t xml:space="preserve">אתר הקליניקה: </w:t>
            </w:r>
            <w:hyperlink r:id="rId9" w:history="1">
              <w:r w:rsidRPr="00F01882">
                <w:rPr>
                  <w:rStyle w:val="Hyperlink"/>
                  <w:rFonts w:cs="Arial"/>
                </w:rPr>
                <w:t>www.envclinic.org</w:t>
              </w:r>
            </w:hyperlink>
            <w:r>
              <w:rPr>
                <w:rFonts w:cs="Arial"/>
                <w:color w:val="000000"/>
              </w:rPr>
              <w:t xml:space="preserve"> </w:t>
            </w:r>
          </w:p>
        </w:tc>
      </w:tr>
    </w:tbl>
    <w:p w:rsidR="00B655C8" w:rsidRDefault="00B655C8" w:rsidP="00B655C8">
      <w:pPr>
        <w:jc w:val="both"/>
        <w:rPr>
          <w:rFonts w:hint="cs"/>
          <w:b/>
          <w:bCs/>
          <w:rtl/>
        </w:rPr>
      </w:pPr>
    </w:p>
    <w:p w:rsidR="00B655C8" w:rsidRDefault="00B655C8" w:rsidP="00B655C8">
      <w:pPr>
        <w:spacing w:line="360" w:lineRule="auto"/>
        <w:jc w:val="center"/>
        <w:rPr>
          <w:b/>
          <w:bCs/>
          <w:sz w:val="32"/>
          <w:szCs w:val="32"/>
          <w:u w:val="single"/>
        </w:rPr>
      </w:pPr>
    </w:p>
    <w:p w:rsidR="00B655C8" w:rsidRDefault="00B655C8" w:rsidP="00B655C8">
      <w:pPr>
        <w:spacing w:line="360" w:lineRule="auto"/>
        <w:jc w:val="center"/>
        <w:rPr>
          <w:b/>
          <w:bCs/>
          <w:sz w:val="32"/>
          <w:szCs w:val="32"/>
          <w:u w:val="single"/>
        </w:rPr>
      </w:pPr>
    </w:p>
    <w:p w:rsidR="00B655C8" w:rsidRDefault="00B655C8" w:rsidP="0046298A">
      <w:pPr>
        <w:spacing w:line="480" w:lineRule="auto"/>
        <w:jc w:val="center"/>
        <w:rPr>
          <w:b/>
          <w:bCs/>
          <w:sz w:val="32"/>
          <w:szCs w:val="32"/>
          <w:u w:val="single"/>
          <w:rtl/>
        </w:rPr>
      </w:pPr>
      <w:r>
        <w:rPr>
          <w:rFonts w:hint="cs"/>
          <w:b/>
          <w:bCs/>
          <w:sz w:val="32"/>
          <w:szCs w:val="32"/>
          <w:u w:val="single"/>
          <w:rtl/>
        </w:rPr>
        <w:t>חוות דעת משפטית</w:t>
      </w:r>
      <w:r>
        <w:rPr>
          <w:b/>
          <w:bCs/>
          <w:sz w:val="32"/>
          <w:szCs w:val="32"/>
          <w:u w:val="single"/>
        </w:rPr>
        <w:t>:</w:t>
      </w:r>
    </w:p>
    <w:p w:rsidR="00B655C8" w:rsidRDefault="00B655C8" w:rsidP="0046298A">
      <w:pPr>
        <w:spacing w:line="360" w:lineRule="auto"/>
        <w:jc w:val="center"/>
        <w:rPr>
          <w:rFonts w:hint="cs"/>
          <w:b/>
          <w:bCs/>
          <w:sz w:val="32"/>
          <w:szCs w:val="32"/>
          <w:u w:val="single"/>
          <w:rtl/>
        </w:rPr>
      </w:pPr>
      <w:r w:rsidRPr="0046298A">
        <w:rPr>
          <w:rFonts w:hint="eastAsia"/>
          <w:b/>
          <w:bCs/>
          <w:sz w:val="32"/>
          <w:szCs w:val="32"/>
          <w:u w:val="single"/>
          <w:rtl/>
        </w:rPr>
        <w:t>מעמד</w:t>
      </w:r>
      <w:r w:rsidRPr="0046298A">
        <w:rPr>
          <w:rFonts w:hint="cs"/>
          <w:b/>
          <w:bCs/>
          <w:sz w:val="32"/>
          <w:szCs w:val="32"/>
          <w:u w:val="single"/>
          <w:rtl/>
        </w:rPr>
        <w:t>ן</w:t>
      </w:r>
      <w:r w:rsidRPr="0046298A">
        <w:rPr>
          <w:b/>
          <w:bCs/>
          <w:sz w:val="32"/>
          <w:szCs w:val="32"/>
          <w:u w:val="single"/>
          <w:rtl/>
        </w:rPr>
        <w:t xml:space="preserve"> </w:t>
      </w:r>
      <w:r w:rsidRPr="0046298A">
        <w:rPr>
          <w:rFonts w:hint="cs"/>
          <w:b/>
          <w:bCs/>
          <w:sz w:val="32"/>
          <w:szCs w:val="32"/>
          <w:u w:val="single"/>
          <w:rtl/>
        </w:rPr>
        <w:t>ה</w:t>
      </w:r>
      <w:r w:rsidRPr="0046298A">
        <w:rPr>
          <w:b/>
          <w:bCs/>
          <w:sz w:val="32"/>
          <w:szCs w:val="32"/>
          <w:u w:val="single"/>
          <w:rtl/>
        </w:rPr>
        <w:t>משפטי של ה</w:t>
      </w:r>
      <w:r w:rsidRPr="0046298A">
        <w:rPr>
          <w:rFonts w:hint="cs"/>
          <w:b/>
          <w:bCs/>
          <w:sz w:val="32"/>
          <w:szCs w:val="32"/>
          <w:u w:val="single"/>
          <w:rtl/>
        </w:rPr>
        <w:t>וראות</w:t>
      </w:r>
      <w:r w:rsidRPr="0046298A">
        <w:rPr>
          <w:b/>
          <w:bCs/>
          <w:sz w:val="32"/>
          <w:szCs w:val="32"/>
          <w:u w:val="single"/>
          <w:rtl/>
        </w:rPr>
        <w:t xml:space="preserve"> החשב הכללי</w:t>
      </w:r>
    </w:p>
    <w:p w:rsidR="0046298A" w:rsidRPr="0046298A" w:rsidRDefault="0046298A" w:rsidP="0046298A">
      <w:pPr>
        <w:spacing w:line="360" w:lineRule="auto"/>
        <w:jc w:val="center"/>
        <w:rPr>
          <w:rFonts w:hint="cs"/>
          <w:b/>
          <w:bCs/>
          <w:sz w:val="32"/>
          <w:szCs w:val="32"/>
          <w:u w:val="single"/>
          <w:rtl/>
        </w:rPr>
      </w:pPr>
      <w:r>
        <w:rPr>
          <w:rFonts w:hint="cs"/>
          <w:b/>
          <w:bCs/>
          <w:sz w:val="32"/>
          <w:szCs w:val="32"/>
          <w:u w:val="single"/>
          <w:rtl/>
        </w:rPr>
        <w:t>בדבר החזר הוצאות רכב</w:t>
      </w:r>
    </w:p>
    <w:p w:rsidR="00B655C8" w:rsidRDefault="00B655C8" w:rsidP="00B655C8">
      <w:pPr>
        <w:jc w:val="center"/>
        <w:rPr>
          <w:b/>
          <w:bCs/>
        </w:rPr>
      </w:pPr>
    </w:p>
    <w:p w:rsidR="00B655C8" w:rsidRDefault="00B655C8" w:rsidP="00B655C8">
      <w:pPr>
        <w:jc w:val="center"/>
        <w:rPr>
          <w:b/>
          <w:bCs/>
        </w:rPr>
      </w:pPr>
    </w:p>
    <w:p w:rsidR="00B655C8" w:rsidRDefault="00B655C8" w:rsidP="00B655C8">
      <w:pPr>
        <w:jc w:val="center"/>
        <w:rPr>
          <w:rFonts w:hint="cs"/>
          <w:b/>
          <w:bCs/>
        </w:rPr>
      </w:pPr>
    </w:p>
    <w:p w:rsidR="00B655C8" w:rsidRDefault="00B655C8" w:rsidP="00B655C8">
      <w:pPr>
        <w:jc w:val="center"/>
        <w:rPr>
          <w:b/>
          <w:bCs/>
        </w:rPr>
      </w:pPr>
    </w:p>
    <w:p w:rsidR="00B655C8" w:rsidRPr="0046298A" w:rsidRDefault="00B655C8" w:rsidP="00B655C8">
      <w:pPr>
        <w:jc w:val="center"/>
        <w:rPr>
          <w:rFonts w:hint="cs"/>
          <w:b/>
          <w:bCs/>
          <w:sz w:val="28"/>
          <w:szCs w:val="28"/>
          <w:rtl/>
        </w:rPr>
      </w:pPr>
      <w:r w:rsidRPr="0046298A">
        <w:rPr>
          <w:rFonts w:hint="cs"/>
          <w:b/>
          <w:bCs/>
          <w:sz w:val="28"/>
          <w:szCs w:val="28"/>
          <w:rtl/>
        </w:rPr>
        <w:t>שירה שחם</w:t>
      </w:r>
    </w:p>
    <w:p w:rsidR="0046298A" w:rsidRPr="0046298A" w:rsidRDefault="0046298A" w:rsidP="00B655C8">
      <w:pPr>
        <w:jc w:val="center"/>
        <w:rPr>
          <w:rFonts w:hint="cs"/>
          <w:b/>
          <w:bCs/>
          <w:sz w:val="28"/>
          <w:szCs w:val="28"/>
          <w:rtl/>
        </w:rPr>
      </w:pPr>
      <w:r w:rsidRPr="0046298A">
        <w:rPr>
          <w:rFonts w:hint="cs"/>
          <w:b/>
          <w:bCs/>
          <w:sz w:val="28"/>
          <w:szCs w:val="28"/>
          <w:rtl/>
        </w:rPr>
        <w:t>אשר סילבר</w:t>
      </w:r>
    </w:p>
    <w:p w:rsidR="00B655C8" w:rsidRDefault="00B655C8" w:rsidP="00B655C8">
      <w:pPr>
        <w:jc w:val="center"/>
        <w:rPr>
          <w:rtl/>
        </w:rPr>
      </w:pPr>
      <w:r>
        <w:rPr>
          <w:rtl/>
        </w:rPr>
        <w:t>הקליניקה ל</w:t>
      </w:r>
      <w:r>
        <w:rPr>
          <w:rFonts w:hint="cs"/>
          <w:rtl/>
        </w:rPr>
        <w:t>פרקטיקה ו</w:t>
      </w:r>
      <w:r>
        <w:rPr>
          <w:rtl/>
        </w:rPr>
        <w:t>מדיניות סביבתית,</w:t>
      </w:r>
    </w:p>
    <w:p w:rsidR="00B655C8" w:rsidRDefault="00B655C8" w:rsidP="00B655C8">
      <w:pPr>
        <w:pStyle w:val="a7"/>
        <w:tabs>
          <w:tab w:val="clear" w:pos="4153"/>
          <w:tab w:val="clear" w:pos="8306"/>
        </w:tabs>
        <w:jc w:val="center"/>
        <w:rPr>
          <w:rtl/>
        </w:rPr>
      </w:pPr>
      <w:r>
        <w:rPr>
          <w:rtl/>
        </w:rPr>
        <w:t>אונ' בר-אילן</w:t>
      </w:r>
    </w:p>
    <w:p w:rsidR="00B655C8" w:rsidRDefault="00B655C8" w:rsidP="00B655C8">
      <w:pPr>
        <w:spacing w:line="480" w:lineRule="auto"/>
        <w:jc w:val="center"/>
        <w:rPr>
          <w:rFonts w:hint="cs"/>
          <w:rtl/>
        </w:rPr>
      </w:pPr>
    </w:p>
    <w:p w:rsidR="0046298A" w:rsidRDefault="0046298A" w:rsidP="0046298A">
      <w:pPr>
        <w:jc w:val="center"/>
        <w:rPr>
          <w:rFonts w:hint="cs"/>
          <w:rtl/>
        </w:rPr>
      </w:pPr>
      <w:r>
        <w:rPr>
          <w:rFonts w:hint="cs"/>
          <w:rtl/>
        </w:rPr>
        <w:t>הנחיה מקצועית:</w:t>
      </w:r>
    </w:p>
    <w:p w:rsidR="0046298A" w:rsidRDefault="0046298A" w:rsidP="0046298A">
      <w:pPr>
        <w:jc w:val="center"/>
        <w:rPr>
          <w:rFonts w:hint="cs"/>
          <w:rtl/>
        </w:rPr>
      </w:pPr>
      <w:r>
        <w:rPr>
          <w:rFonts w:hint="cs"/>
          <w:rtl/>
        </w:rPr>
        <w:t>עו"ד חנן מנדל, הפקולטה למשפטים, אוניברסיטת בר-אילן</w:t>
      </w:r>
    </w:p>
    <w:p w:rsidR="0046298A" w:rsidRDefault="0046298A" w:rsidP="0046298A">
      <w:pPr>
        <w:jc w:val="center"/>
        <w:rPr>
          <w:rFonts w:hint="cs"/>
          <w:rtl/>
        </w:rPr>
      </w:pPr>
      <w:r>
        <w:rPr>
          <w:rFonts w:hint="cs"/>
          <w:rtl/>
        </w:rPr>
        <w:t>הגב' תמר קינן, עמותת "תחבורה היום ומחר".</w:t>
      </w:r>
    </w:p>
    <w:p w:rsidR="0046298A" w:rsidRDefault="0046298A" w:rsidP="0046298A">
      <w:pPr>
        <w:jc w:val="center"/>
        <w:rPr>
          <w:rFonts w:hint="cs"/>
          <w:rtl/>
        </w:rPr>
      </w:pPr>
    </w:p>
    <w:p w:rsidR="00B655C8" w:rsidRDefault="00B655C8" w:rsidP="00B655C8">
      <w:pPr>
        <w:spacing w:line="480" w:lineRule="auto"/>
        <w:jc w:val="center"/>
        <w:rPr>
          <w:rFonts w:hint="cs"/>
        </w:rPr>
      </w:pPr>
      <w:r>
        <w:rPr>
          <w:rFonts w:hint="cs"/>
          <w:rtl/>
        </w:rPr>
        <w:t>חוות הדעת הינה המשך למסמך ראשוני שנכתב ע"י הילה מור וז'נט קרבץ.</w:t>
      </w:r>
    </w:p>
    <w:p w:rsidR="00B655C8" w:rsidRDefault="00B655C8" w:rsidP="00B655C8">
      <w:pPr>
        <w:spacing w:line="480" w:lineRule="auto"/>
        <w:jc w:val="center"/>
      </w:pPr>
    </w:p>
    <w:p w:rsidR="00B655C8" w:rsidRDefault="00B655C8" w:rsidP="00B655C8">
      <w:pPr>
        <w:jc w:val="right"/>
        <w:rPr>
          <w:rFonts w:hint="cs"/>
          <w:rtl/>
        </w:rPr>
      </w:pPr>
    </w:p>
    <w:p w:rsidR="00B655C8" w:rsidRDefault="00B655C8" w:rsidP="00B655C8">
      <w:pPr>
        <w:spacing w:line="360" w:lineRule="auto"/>
        <w:jc w:val="center"/>
        <w:rPr>
          <w:rFonts w:hint="cs"/>
          <w:rtl/>
        </w:rPr>
      </w:pPr>
      <w:r>
        <w:rPr>
          <w:rFonts w:hint="cs"/>
          <w:rtl/>
        </w:rPr>
        <w:t>במסגרת פרוייקט סיוע משפטי לעמותת "תחבורה היום ומחר"</w:t>
      </w:r>
    </w:p>
    <w:p w:rsidR="00B655C8" w:rsidRDefault="00B655C8" w:rsidP="00B655C8">
      <w:pPr>
        <w:spacing w:line="360" w:lineRule="auto"/>
        <w:jc w:val="center"/>
        <w:rPr>
          <w:rFonts w:hint="cs"/>
          <w:rtl/>
        </w:rPr>
      </w:pPr>
      <w:r>
        <w:rPr>
          <w:rFonts w:hint="cs"/>
          <w:rtl/>
        </w:rPr>
        <w:t>בשיתוף פעולה של "חיים וסביבה"</w:t>
      </w:r>
    </w:p>
    <w:p w:rsidR="00B655C8" w:rsidRDefault="00B655C8" w:rsidP="00B655C8">
      <w:pPr>
        <w:spacing w:line="360" w:lineRule="auto"/>
        <w:jc w:val="center"/>
      </w:pPr>
    </w:p>
    <w:p w:rsidR="0015241B" w:rsidRDefault="0015241B" w:rsidP="005E550F">
      <w:pPr>
        <w:pBdr>
          <w:top w:val="single" w:sz="4" w:space="1" w:color="auto"/>
          <w:left w:val="single" w:sz="4" w:space="4" w:color="auto"/>
          <w:bottom w:val="single" w:sz="4" w:space="1" w:color="auto"/>
          <w:right w:val="single" w:sz="4" w:space="4" w:color="auto"/>
        </w:pBdr>
        <w:rPr>
          <w:rFonts w:hint="cs"/>
          <w:b/>
          <w:bCs/>
          <w:rtl/>
        </w:rPr>
      </w:pPr>
    </w:p>
    <w:p w:rsidR="0015241B" w:rsidRDefault="00B655C8" w:rsidP="0015241B">
      <w:pPr>
        <w:pBdr>
          <w:top w:val="single" w:sz="4" w:space="1" w:color="auto"/>
          <w:left w:val="single" w:sz="4" w:space="4" w:color="auto"/>
          <w:bottom w:val="single" w:sz="4" w:space="1" w:color="auto"/>
          <w:right w:val="single" w:sz="4" w:space="4" w:color="auto"/>
        </w:pBdr>
        <w:jc w:val="center"/>
        <w:rPr>
          <w:rFonts w:hint="cs"/>
          <w:b/>
          <w:bCs/>
          <w:rtl/>
        </w:rPr>
      </w:pPr>
      <w:r w:rsidRPr="005E550F">
        <w:rPr>
          <w:rFonts w:hint="cs"/>
          <w:b/>
          <w:bCs/>
          <w:rtl/>
        </w:rPr>
        <w:t>זוהי חוות דעת משפטית ראשונית, המוגשת ל</w:t>
      </w:r>
      <w:r w:rsidR="0015241B">
        <w:rPr>
          <w:rFonts w:hint="cs"/>
          <w:b/>
          <w:bCs/>
          <w:rtl/>
        </w:rPr>
        <w:t>צרכי עיון ומחקר בלבד.</w:t>
      </w:r>
    </w:p>
    <w:p w:rsidR="00B655C8" w:rsidRDefault="00B655C8" w:rsidP="0015241B">
      <w:pPr>
        <w:pBdr>
          <w:top w:val="single" w:sz="4" w:space="1" w:color="auto"/>
          <w:left w:val="single" w:sz="4" w:space="4" w:color="auto"/>
          <w:bottom w:val="single" w:sz="4" w:space="1" w:color="auto"/>
          <w:right w:val="single" w:sz="4" w:space="4" w:color="auto"/>
        </w:pBdr>
        <w:jc w:val="center"/>
        <w:rPr>
          <w:rFonts w:hint="cs"/>
          <w:b/>
          <w:bCs/>
          <w:rtl/>
        </w:rPr>
      </w:pPr>
      <w:r w:rsidRPr="005E550F">
        <w:rPr>
          <w:rFonts w:hint="cs"/>
          <w:b/>
          <w:bCs/>
          <w:rtl/>
        </w:rPr>
        <w:t xml:space="preserve">אין לעשות בה </w:t>
      </w:r>
      <w:r w:rsidR="0015241B">
        <w:rPr>
          <w:rFonts w:hint="cs"/>
          <w:b/>
          <w:bCs/>
          <w:rtl/>
        </w:rPr>
        <w:t>כל שימוש משפטי.</w:t>
      </w:r>
    </w:p>
    <w:p w:rsidR="0015241B" w:rsidRPr="005E550F" w:rsidRDefault="0015241B" w:rsidP="0015241B">
      <w:pPr>
        <w:pBdr>
          <w:top w:val="single" w:sz="4" w:space="1" w:color="auto"/>
          <w:left w:val="single" w:sz="4" w:space="4" w:color="auto"/>
          <w:bottom w:val="single" w:sz="4" w:space="1" w:color="auto"/>
          <w:right w:val="single" w:sz="4" w:space="4" w:color="auto"/>
        </w:pBdr>
        <w:jc w:val="center"/>
        <w:rPr>
          <w:rFonts w:hint="cs"/>
          <w:b/>
          <w:bCs/>
          <w:rtl/>
        </w:rPr>
      </w:pPr>
    </w:p>
    <w:p w:rsidR="00B655C8" w:rsidRDefault="00B655C8" w:rsidP="00B655C8">
      <w:pPr>
        <w:spacing w:line="360" w:lineRule="auto"/>
        <w:jc w:val="center"/>
        <w:rPr>
          <w:rFonts w:hint="cs"/>
          <w:rtl/>
        </w:rPr>
      </w:pPr>
    </w:p>
    <w:p w:rsidR="004B3A69" w:rsidRDefault="005E550F" w:rsidP="00176E38">
      <w:pPr>
        <w:pStyle w:val="5"/>
        <w:jc w:val="center"/>
        <w:rPr>
          <w:rFonts w:hint="cs"/>
          <w:sz w:val="28"/>
          <w:szCs w:val="28"/>
          <w:rtl/>
        </w:rPr>
      </w:pPr>
      <w:r>
        <w:rPr>
          <w:sz w:val="28"/>
          <w:szCs w:val="28"/>
          <w:rtl/>
        </w:rPr>
        <w:br w:type="page"/>
      </w:r>
      <w:r w:rsidR="00176E38">
        <w:rPr>
          <w:rFonts w:hint="cs"/>
          <w:sz w:val="28"/>
          <w:szCs w:val="28"/>
          <w:rtl/>
        </w:rPr>
        <w:lastRenderedPageBreak/>
        <w:t>תוכן העניינים</w:t>
      </w:r>
    </w:p>
    <w:p w:rsidR="00FF6F5F" w:rsidRDefault="00937B20" w:rsidP="00FF6F5F">
      <w:pPr>
        <w:pStyle w:val="TOC1"/>
        <w:tabs>
          <w:tab w:val="right" w:leader="dot" w:pos="8296"/>
        </w:tabs>
        <w:spacing w:line="480" w:lineRule="auto"/>
        <w:rPr>
          <w:rFonts w:cs="Times New Roman"/>
          <w:noProof/>
          <w:sz w:val="24"/>
          <w:rtl/>
          <w:lang w:eastAsia="en-US"/>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"1-3" \h \z \u</w:instrText>
      </w:r>
      <w:r>
        <w:rPr>
          <w:rtl/>
        </w:rPr>
        <w:instrText xml:space="preserve"> </w:instrText>
      </w:r>
      <w:r>
        <w:rPr>
          <w:rtl/>
        </w:rPr>
        <w:fldChar w:fldCharType="separate"/>
      </w:r>
      <w:hyperlink w:anchor="_Toc144716253" w:history="1">
        <w:r w:rsidR="00FF6F5F" w:rsidRPr="005901E5">
          <w:rPr>
            <w:rStyle w:val="Hyperlink"/>
            <w:noProof/>
            <w:rtl/>
          </w:rPr>
          <w:t>תקציר</w:t>
        </w:r>
        <w:r w:rsidR="00FF6F5F">
          <w:rPr>
            <w:noProof/>
            <w:webHidden/>
            <w:rtl/>
          </w:rPr>
          <w:tab/>
        </w:r>
        <w:r w:rsidR="00FF6F5F">
          <w:rPr>
            <w:noProof/>
            <w:webHidden/>
            <w:rtl/>
          </w:rPr>
          <w:fldChar w:fldCharType="begin"/>
        </w:r>
        <w:r w:rsidR="00FF6F5F">
          <w:rPr>
            <w:noProof/>
            <w:webHidden/>
            <w:rtl/>
          </w:rPr>
          <w:instrText xml:space="preserve"> </w:instrText>
        </w:r>
        <w:r w:rsidR="00FF6F5F">
          <w:rPr>
            <w:noProof/>
            <w:webHidden/>
          </w:rPr>
          <w:instrText>PAGEREF</w:instrText>
        </w:r>
        <w:r w:rsidR="00FF6F5F">
          <w:rPr>
            <w:noProof/>
            <w:webHidden/>
            <w:rtl/>
          </w:rPr>
          <w:instrText xml:space="preserve"> _</w:instrText>
        </w:r>
        <w:r w:rsidR="00FF6F5F">
          <w:rPr>
            <w:noProof/>
            <w:webHidden/>
          </w:rPr>
          <w:instrText>Toc144716253 \h</w:instrText>
        </w:r>
        <w:r w:rsidR="00FF6F5F">
          <w:rPr>
            <w:noProof/>
            <w:webHidden/>
            <w:rtl/>
          </w:rPr>
          <w:instrText xml:space="preserve"> </w:instrText>
        </w:r>
        <w:r w:rsidR="00FF6F5F">
          <w:rPr>
            <w:noProof/>
          </w:rPr>
        </w:r>
        <w:r w:rsidR="00FF6F5F">
          <w:rPr>
            <w:noProof/>
            <w:webHidden/>
            <w:rtl/>
          </w:rPr>
          <w:fldChar w:fldCharType="separate"/>
        </w:r>
        <w:r w:rsidR="00FF6F5F">
          <w:rPr>
            <w:noProof/>
            <w:webHidden/>
            <w:rtl/>
          </w:rPr>
          <w:t>2</w:t>
        </w:r>
        <w:r w:rsidR="00FF6F5F">
          <w:rPr>
            <w:noProof/>
            <w:webHidden/>
            <w:rtl/>
          </w:rPr>
          <w:fldChar w:fldCharType="end"/>
        </w:r>
      </w:hyperlink>
    </w:p>
    <w:p w:rsidR="00FF6F5F" w:rsidRDefault="00FF6F5F" w:rsidP="00FF6F5F">
      <w:pPr>
        <w:pStyle w:val="TOC1"/>
        <w:tabs>
          <w:tab w:val="right" w:leader="dot" w:pos="8296"/>
        </w:tabs>
        <w:spacing w:line="480" w:lineRule="auto"/>
        <w:rPr>
          <w:rFonts w:cs="Times New Roman"/>
          <w:noProof/>
          <w:sz w:val="24"/>
          <w:rtl/>
          <w:lang w:eastAsia="en-US"/>
        </w:rPr>
      </w:pPr>
      <w:hyperlink w:anchor="_Toc144716254" w:history="1">
        <w:r w:rsidRPr="005901E5">
          <w:rPr>
            <w:rStyle w:val="Hyperlink"/>
            <w:noProof/>
            <w:rtl/>
          </w:rPr>
          <w:t>הקדמה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Toc144716254 \h</w:instrText>
        </w:r>
        <w:r>
          <w:rPr>
            <w:noProof/>
            <w:webHidden/>
            <w:rtl/>
          </w:rPr>
          <w:instrText xml:space="preserve"> </w:instrText>
        </w:r>
        <w:r>
          <w:rPr>
            <w:noProof/>
          </w:rPr>
        </w:r>
        <w:r>
          <w:rPr>
            <w:noProof/>
            <w:webHidden/>
            <w:rtl/>
          </w:rPr>
          <w:fldChar w:fldCharType="separate"/>
        </w:r>
        <w:r>
          <w:rPr>
            <w:noProof/>
            <w:webHidden/>
            <w:rtl/>
          </w:rPr>
          <w:t>4</w:t>
        </w:r>
        <w:r>
          <w:rPr>
            <w:noProof/>
            <w:webHidden/>
            <w:rtl/>
          </w:rPr>
          <w:fldChar w:fldCharType="end"/>
        </w:r>
      </w:hyperlink>
    </w:p>
    <w:p w:rsidR="00FF6F5F" w:rsidRDefault="00FF6F5F" w:rsidP="00FF6F5F">
      <w:pPr>
        <w:pStyle w:val="TOC1"/>
        <w:tabs>
          <w:tab w:val="right" w:leader="dot" w:pos="8296"/>
        </w:tabs>
        <w:spacing w:line="480" w:lineRule="auto"/>
        <w:rPr>
          <w:rFonts w:cs="Times New Roman"/>
          <w:noProof/>
          <w:sz w:val="24"/>
          <w:rtl/>
          <w:lang w:eastAsia="en-US"/>
        </w:rPr>
      </w:pPr>
      <w:hyperlink w:anchor="_Toc144716255" w:history="1">
        <w:r w:rsidRPr="005901E5">
          <w:rPr>
            <w:rStyle w:val="Hyperlink"/>
            <w:noProof/>
            <w:rtl/>
          </w:rPr>
          <w:t>פרק א: כללי המשפט המנהלי וכפיפות החשב הכללי אליהן</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Toc144716255 \h</w:instrText>
        </w:r>
        <w:r>
          <w:rPr>
            <w:noProof/>
            <w:webHidden/>
            <w:rtl/>
          </w:rPr>
          <w:instrText xml:space="preserve"> </w:instrText>
        </w:r>
        <w:r>
          <w:rPr>
            <w:noProof/>
          </w:rPr>
        </w:r>
        <w:r>
          <w:rPr>
            <w:noProof/>
            <w:webHidden/>
            <w:rtl/>
          </w:rPr>
          <w:fldChar w:fldCharType="separate"/>
        </w:r>
        <w:r>
          <w:rPr>
            <w:noProof/>
            <w:webHidden/>
            <w:rtl/>
          </w:rPr>
          <w:t>6</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56" w:history="1">
        <w:r w:rsidRPr="005901E5">
          <w:rPr>
            <w:rStyle w:val="Hyperlink"/>
            <w:noProof/>
            <w:rtl/>
          </w:rPr>
          <w:t>תיחום והגדרת ההוראה של החשב הכללי</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Toc144716256 \h</w:instrText>
        </w:r>
        <w:r>
          <w:rPr>
            <w:noProof/>
            <w:webHidden/>
            <w:rtl/>
          </w:rPr>
          <w:instrText xml:space="preserve"> </w:instrText>
        </w:r>
        <w:r>
          <w:rPr>
            <w:noProof/>
          </w:rPr>
        </w:r>
        <w:r>
          <w:rPr>
            <w:noProof/>
            <w:webHidden/>
            <w:rtl/>
          </w:rPr>
          <w:fldChar w:fldCharType="separate"/>
        </w:r>
        <w:r>
          <w:rPr>
            <w:noProof/>
            <w:webHidden/>
            <w:rtl/>
          </w:rPr>
          <w:t>6</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57" w:history="1">
        <w:r w:rsidRPr="005901E5">
          <w:rPr>
            <w:rStyle w:val="Hyperlink"/>
            <w:noProof/>
            <w:rtl/>
          </w:rPr>
          <w:t>מעמדה המשפטי של ההוראה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Toc144716257 \h</w:instrText>
        </w:r>
        <w:r>
          <w:rPr>
            <w:noProof/>
            <w:webHidden/>
            <w:rtl/>
          </w:rPr>
          <w:instrText xml:space="preserve"> </w:instrText>
        </w:r>
        <w:r>
          <w:rPr>
            <w:noProof/>
          </w:rPr>
        </w:r>
        <w:r>
          <w:rPr>
            <w:noProof/>
            <w:webHidden/>
            <w:rtl/>
          </w:rPr>
          <w:fldChar w:fldCharType="separate"/>
        </w:r>
        <w:r>
          <w:rPr>
            <w:noProof/>
            <w:webHidden/>
            <w:rtl/>
          </w:rPr>
          <w:t>7</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58" w:history="1">
        <w:r w:rsidRPr="005901E5">
          <w:rPr>
            <w:rStyle w:val="Hyperlink"/>
            <w:noProof/>
            <w:rtl/>
          </w:rPr>
          <w:t>עקרונות-על  במשפט המנהלי</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Toc144716258 \h</w:instrText>
        </w:r>
        <w:r>
          <w:rPr>
            <w:noProof/>
            <w:webHidden/>
            <w:rtl/>
          </w:rPr>
          <w:instrText xml:space="preserve"> </w:instrText>
        </w:r>
        <w:r>
          <w:rPr>
            <w:noProof/>
          </w:rPr>
        </w:r>
        <w:r>
          <w:rPr>
            <w:noProof/>
            <w:webHidden/>
            <w:rtl/>
          </w:rPr>
          <w:fldChar w:fldCharType="separate"/>
        </w:r>
        <w:r>
          <w:rPr>
            <w:noProof/>
            <w:webHidden/>
            <w:rtl/>
          </w:rPr>
          <w:t>7</w:t>
        </w:r>
        <w:r>
          <w:rPr>
            <w:noProof/>
            <w:webHidden/>
            <w:rtl/>
          </w:rPr>
          <w:fldChar w:fldCharType="end"/>
        </w:r>
      </w:hyperlink>
    </w:p>
    <w:p w:rsidR="00FF6F5F" w:rsidRDefault="00FF6F5F" w:rsidP="00FF6F5F">
      <w:pPr>
        <w:pStyle w:val="TOC3"/>
        <w:tabs>
          <w:tab w:val="right" w:leader="dot" w:pos="8296"/>
        </w:tabs>
        <w:spacing w:line="480" w:lineRule="auto"/>
        <w:rPr>
          <w:rFonts w:cs="Times New Roman"/>
          <w:noProof/>
          <w:sz w:val="24"/>
          <w:rtl/>
          <w:lang w:eastAsia="en-US"/>
        </w:rPr>
      </w:pPr>
      <w:hyperlink w:anchor="_Toc144716259" w:history="1">
        <w:r w:rsidRPr="005901E5">
          <w:rPr>
            <w:rStyle w:val="Hyperlink"/>
            <w:noProof/>
            <w:rtl/>
          </w:rPr>
          <w:t>עקרון חוקיות המינהל</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Toc144716259 \h</w:instrText>
        </w:r>
        <w:r>
          <w:rPr>
            <w:noProof/>
            <w:webHidden/>
            <w:rtl/>
          </w:rPr>
          <w:instrText xml:space="preserve"> </w:instrText>
        </w:r>
        <w:r>
          <w:rPr>
            <w:noProof/>
          </w:rPr>
        </w:r>
        <w:r>
          <w:rPr>
            <w:noProof/>
            <w:webHidden/>
            <w:rtl/>
          </w:rPr>
          <w:fldChar w:fldCharType="separate"/>
        </w:r>
        <w:r>
          <w:rPr>
            <w:noProof/>
            <w:webHidden/>
            <w:rtl/>
          </w:rPr>
          <w:t>8</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60" w:history="1">
        <w:r w:rsidRPr="005901E5">
          <w:rPr>
            <w:rStyle w:val="Hyperlink"/>
            <w:noProof/>
            <w:rtl/>
          </w:rPr>
          <w:t>כללים נוספים המחייבים את הרשות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Toc144716260 \h</w:instrText>
        </w:r>
        <w:r>
          <w:rPr>
            <w:noProof/>
            <w:webHidden/>
            <w:rtl/>
          </w:rPr>
          <w:instrText xml:space="preserve"> </w:instrText>
        </w:r>
        <w:r>
          <w:rPr>
            <w:noProof/>
          </w:rPr>
        </w:r>
        <w:r>
          <w:rPr>
            <w:noProof/>
            <w:webHidden/>
            <w:rtl/>
          </w:rPr>
          <w:fldChar w:fldCharType="separate"/>
        </w:r>
        <w:r>
          <w:rPr>
            <w:noProof/>
            <w:webHidden/>
            <w:rtl/>
          </w:rPr>
          <w:t>10</w:t>
        </w:r>
        <w:r>
          <w:rPr>
            <w:noProof/>
            <w:webHidden/>
            <w:rtl/>
          </w:rPr>
          <w:fldChar w:fldCharType="end"/>
        </w:r>
      </w:hyperlink>
    </w:p>
    <w:p w:rsidR="00FF6F5F" w:rsidRDefault="00FF6F5F" w:rsidP="00FF6F5F">
      <w:pPr>
        <w:pStyle w:val="TOC3"/>
        <w:tabs>
          <w:tab w:val="right" w:leader="dot" w:pos="8296"/>
        </w:tabs>
        <w:spacing w:line="480" w:lineRule="auto"/>
        <w:rPr>
          <w:rFonts w:cs="Times New Roman"/>
          <w:noProof/>
          <w:sz w:val="24"/>
          <w:rtl/>
          <w:lang w:eastAsia="en-US"/>
        </w:rPr>
      </w:pPr>
      <w:hyperlink w:anchor="_Toc144716261" w:history="1">
        <w:r w:rsidRPr="005901E5">
          <w:rPr>
            <w:rStyle w:val="Hyperlink"/>
            <w:noProof/>
            <w:rtl/>
          </w:rPr>
          <w:t>א. כיבוד עקרונות היסוד העומדים בבסיסם של חוקי היסוד-</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Toc144716261 \h</w:instrText>
        </w:r>
        <w:r>
          <w:rPr>
            <w:noProof/>
            <w:webHidden/>
            <w:rtl/>
          </w:rPr>
          <w:instrText xml:space="preserve"> </w:instrText>
        </w:r>
        <w:r>
          <w:rPr>
            <w:noProof/>
          </w:rPr>
        </w:r>
        <w:r>
          <w:rPr>
            <w:noProof/>
            <w:webHidden/>
            <w:rtl/>
          </w:rPr>
          <w:fldChar w:fldCharType="separate"/>
        </w:r>
        <w:r>
          <w:rPr>
            <w:noProof/>
            <w:webHidden/>
            <w:rtl/>
          </w:rPr>
          <w:t>10</w:t>
        </w:r>
        <w:r>
          <w:rPr>
            <w:noProof/>
            <w:webHidden/>
            <w:rtl/>
          </w:rPr>
          <w:fldChar w:fldCharType="end"/>
        </w:r>
      </w:hyperlink>
    </w:p>
    <w:p w:rsidR="00FF6F5F" w:rsidRDefault="00FF6F5F" w:rsidP="00FF6F5F">
      <w:pPr>
        <w:pStyle w:val="TOC3"/>
        <w:tabs>
          <w:tab w:val="right" w:leader="dot" w:pos="8296"/>
        </w:tabs>
        <w:spacing w:line="480" w:lineRule="auto"/>
        <w:rPr>
          <w:rFonts w:cs="Times New Roman"/>
          <w:noProof/>
          <w:sz w:val="24"/>
          <w:rtl/>
          <w:lang w:eastAsia="en-US"/>
        </w:rPr>
      </w:pPr>
      <w:hyperlink w:anchor="_Toc144716262" w:history="1">
        <w:r w:rsidRPr="005901E5">
          <w:rPr>
            <w:rStyle w:val="Hyperlink"/>
            <w:noProof/>
            <w:rtl/>
          </w:rPr>
          <w:t>ב. סבירות-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Toc144716262 \h</w:instrText>
        </w:r>
        <w:r>
          <w:rPr>
            <w:noProof/>
            <w:webHidden/>
            <w:rtl/>
          </w:rPr>
          <w:instrText xml:space="preserve"> </w:instrText>
        </w:r>
        <w:r>
          <w:rPr>
            <w:noProof/>
          </w:rPr>
        </w:r>
        <w:r>
          <w:rPr>
            <w:noProof/>
            <w:webHidden/>
            <w:rtl/>
          </w:rPr>
          <w:fldChar w:fldCharType="separate"/>
        </w:r>
        <w:r>
          <w:rPr>
            <w:noProof/>
            <w:webHidden/>
            <w:rtl/>
          </w:rPr>
          <w:t>10</w:t>
        </w:r>
        <w:r>
          <w:rPr>
            <w:noProof/>
            <w:webHidden/>
            <w:rtl/>
          </w:rPr>
          <w:fldChar w:fldCharType="end"/>
        </w:r>
      </w:hyperlink>
    </w:p>
    <w:p w:rsidR="00FF6F5F" w:rsidRDefault="00FF6F5F" w:rsidP="00FF6F5F">
      <w:pPr>
        <w:pStyle w:val="TOC3"/>
        <w:tabs>
          <w:tab w:val="right" w:leader="dot" w:pos="8296"/>
        </w:tabs>
        <w:spacing w:line="480" w:lineRule="auto"/>
        <w:rPr>
          <w:rFonts w:cs="Times New Roman"/>
          <w:noProof/>
          <w:sz w:val="24"/>
          <w:rtl/>
          <w:lang w:eastAsia="en-US"/>
        </w:rPr>
      </w:pPr>
      <w:hyperlink w:anchor="_Toc144716263" w:history="1">
        <w:r w:rsidRPr="005901E5">
          <w:rPr>
            <w:rStyle w:val="Hyperlink"/>
            <w:noProof/>
            <w:rtl/>
          </w:rPr>
          <w:t>ג. מידתיות-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Toc144716263 \h</w:instrText>
        </w:r>
        <w:r>
          <w:rPr>
            <w:noProof/>
            <w:webHidden/>
            <w:rtl/>
          </w:rPr>
          <w:instrText xml:space="preserve"> </w:instrText>
        </w:r>
        <w:r>
          <w:rPr>
            <w:noProof/>
          </w:rPr>
        </w:r>
        <w:r>
          <w:rPr>
            <w:noProof/>
            <w:webHidden/>
            <w:rtl/>
          </w:rPr>
          <w:fldChar w:fldCharType="separate"/>
        </w:r>
        <w:r>
          <w:rPr>
            <w:noProof/>
            <w:webHidden/>
            <w:rtl/>
          </w:rPr>
          <w:t>11</w:t>
        </w:r>
        <w:r>
          <w:rPr>
            <w:noProof/>
            <w:webHidden/>
            <w:rtl/>
          </w:rPr>
          <w:fldChar w:fldCharType="end"/>
        </w:r>
      </w:hyperlink>
    </w:p>
    <w:p w:rsidR="00FF6F5F" w:rsidRDefault="00FF6F5F" w:rsidP="00FF6F5F">
      <w:pPr>
        <w:pStyle w:val="TOC3"/>
        <w:tabs>
          <w:tab w:val="right" w:leader="dot" w:pos="8296"/>
        </w:tabs>
        <w:spacing w:line="480" w:lineRule="auto"/>
        <w:rPr>
          <w:rFonts w:cs="Times New Roman"/>
          <w:noProof/>
          <w:sz w:val="24"/>
          <w:rtl/>
          <w:lang w:eastAsia="en-US"/>
        </w:rPr>
      </w:pPr>
      <w:hyperlink w:anchor="_Toc144716264" w:history="1">
        <w:r w:rsidRPr="005901E5">
          <w:rPr>
            <w:rStyle w:val="Hyperlink"/>
            <w:noProof/>
            <w:rtl/>
          </w:rPr>
          <w:t>ד. חובת ההגינות-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Toc144716264 \h</w:instrText>
        </w:r>
        <w:r>
          <w:rPr>
            <w:noProof/>
            <w:webHidden/>
            <w:rtl/>
          </w:rPr>
          <w:instrText xml:space="preserve"> </w:instrText>
        </w:r>
        <w:r>
          <w:rPr>
            <w:noProof/>
          </w:rPr>
        </w:r>
        <w:r>
          <w:rPr>
            <w:noProof/>
            <w:webHidden/>
            <w:rtl/>
          </w:rPr>
          <w:fldChar w:fldCharType="separate"/>
        </w:r>
        <w:r>
          <w:rPr>
            <w:noProof/>
            <w:webHidden/>
            <w:rtl/>
          </w:rPr>
          <w:t>11</w:t>
        </w:r>
        <w:r>
          <w:rPr>
            <w:noProof/>
            <w:webHidden/>
            <w:rtl/>
          </w:rPr>
          <w:fldChar w:fldCharType="end"/>
        </w:r>
      </w:hyperlink>
    </w:p>
    <w:p w:rsidR="00FF6F5F" w:rsidRDefault="00FF6F5F" w:rsidP="00FF6F5F">
      <w:pPr>
        <w:pStyle w:val="TOC3"/>
        <w:tabs>
          <w:tab w:val="right" w:leader="dot" w:pos="8296"/>
        </w:tabs>
        <w:spacing w:line="480" w:lineRule="auto"/>
        <w:rPr>
          <w:rFonts w:cs="Times New Roman"/>
          <w:noProof/>
          <w:sz w:val="24"/>
          <w:rtl/>
          <w:lang w:eastAsia="en-US"/>
        </w:rPr>
      </w:pPr>
      <w:hyperlink w:anchor="_Toc144716265" w:history="1">
        <w:r w:rsidRPr="005901E5">
          <w:rPr>
            <w:rStyle w:val="Hyperlink"/>
            <w:noProof/>
            <w:rtl/>
          </w:rPr>
          <w:t>ה. שמירה על כללי הצדק הטבעי-</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Toc144716265 \h</w:instrText>
        </w:r>
        <w:r>
          <w:rPr>
            <w:noProof/>
            <w:webHidden/>
            <w:rtl/>
          </w:rPr>
          <w:instrText xml:space="preserve"> </w:instrText>
        </w:r>
        <w:r>
          <w:rPr>
            <w:noProof/>
          </w:rPr>
        </w:r>
        <w:r>
          <w:rPr>
            <w:noProof/>
            <w:webHidden/>
            <w:rtl/>
          </w:rPr>
          <w:fldChar w:fldCharType="separate"/>
        </w:r>
        <w:r>
          <w:rPr>
            <w:noProof/>
            <w:webHidden/>
            <w:rtl/>
          </w:rPr>
          <w:t>11</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66" w:history="1">
        <w:r w:rsidRPr="005901E5">
          <w:rPr>
            <w:rStyle w:val="Hyperlink"/>
            <w:noProof/>
            <w:rtl/>
          </w:rPr>
          <w:t>סיכום ביניים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Toc144716266 \h</w:instrText>
        </w:r>
        <w:r>
          <w:rPr>
            <w:noProof/>
            <w:webHidden/>
            <w:rtl/>
          </w:rPr>
          <w:instrText xml:space="preserve"> </w:instrText>
        </w:r>
        <w:r>
          <w:rPr>
            <w:noProof/>
          </w:rPr>
        </w:r>
        <w:r>
          <w:rPr>
            <w:noProof/>
            <w:webHidden/>
            <w:rtl/>
          </w:rPr>
          <w:fldChar w:fldCharType="separate"/>
        </w:r>
        <w:r>
          <w:rPr>
            <w:noProof/>
            <w:webHidden/>
            <w:rtl/>
          </w:rPr>
          <w:t>13</w:t>
        </w:r>
        <w:r>
          <w:rPr>
            <w:noProof/>
            <w:webHidden/>
            <w:rtl/>
          </w:rPr>
          <w:fldChar w:fldCharType="end"/>
        </w:r>
      </w:hyperlink>
    </w:p>
    <w:p w:rsidR="00FF6F5F" w:rsidRDefault="00FF6F5F" w:rsidP="00FF6F5F">
      <w:pPr>
        <w:pStyle w:val="TOC1"/>
        <w:tabs>
          <w:tab w:val="right" w:leader="dot" w:pos="8296"/>
        </w:tabs>
        <w:spacing w:line="480" w:lineRule="auto"/>
        <w:rPr>
          <w:rFonts w:cs="Times New Roman"/>
          <w:noProof/>
          <w:sz w:val="24"/>
          <w:rtl/>
          <w:lang w:eastAsia="en-US"/>
        </w:rPr>
      </w:pPr>
      <w:hyperlink w:anchor="_Toc144716267" w:history="1">
        <w:r w:rsidRPr="005901E5">
          <w:rPr>
            <w:rStyle w:val="Hyperlink"/>
            <w:noProof/>
            <w:rtl/>
          </w:rPr>
          <w:t>פרק ב: הזכות לשוויון</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Toc144716267 \h</w:instrText>
        </w:r>
        <w:r>
          <w:rPr>
            <w:noProof/>
            <w:webHidden/>
            <w:rtl/>
          </w:rPr>
          <w:instrText xml:space="preserve"> </w:instrText>
        </w:r>
        <w:r>
          <w:rPr>
            <w:noProof/>
          </w:rPr>
        </w:r>
        <w:r>
          <w:rPr>
            <w:noProof/>
            <w:webHidden/>
            <w:rtl/>
          </w:rPr>
          <w:fldChar w:fldCharType="separate"/>
        </w:r>
        <w:r>
          <w:rPr>
            <w:noProof/>
            <w:webHidden/>
            <w:rtl/>
          </w:rPr>
          <w:t>14</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68" w:history="1">
        <w:r w:rsidRPr="005901E5">
          <w:rPr>
            <w:rStyle w:val="Hyperlink"/>
            <w:noProof/>
            <w:rtl/>
          </w:rPr>
          <w:t>הזכות לשוויון בעבודה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Toc144716268 \h</w:instrText>
        </w:r>
        <w:r>
          <w:rPr>
            <w:noProof/>
            <w:webHidden/>
            <w:rtl/>
          </w:rPr>
          <w:instrText xml:space="preserve"> </w:instrText>
        </w:r>
        <w:r>
          <w:rPr>
            <w:noProof/>
          </w:rPr>
        </w:r>
        <w:r>
          <w:rPr>
            <w:noProof/>
            <w:webHidden/>
            <w:rtl/>
          </w:rPr>
          <w:fldChar w:fldCharType="separate"/>
        </w:r>
        <w:r>
          <w:rPr>
            <w:noProof/>
            <w:webHidden/>
            <w:rtl/>
          </w:rPr>
          <w:t>14</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69" w:history="1">
        <w:r w:rsidRPr="005901E5">
          <w:rPr>
            <w:rStyle w:val="Hyperlink"/>
            <w:noProof/>
            <w:rtl/>
          </w:rPr>
          <w:t>1. שוויון בעבודה כזכות יסוד חוקתית: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Toc144716269 \h</w:instrText>
        </w:r>
        <w:r>
          <w:rPr>
            <w:noProof/>
            <w:webHidden/>
            <w:rtl/>
          </w:rPr>
          <w:instrText xml:space="preserve"> </w:instrText>
        </w:r>
        <w:r>
          <w:rPr>
            <w:noProof/>
          </w:rPr>
        </w:r>
        <w:r>
          <w:rPr>
            <w:noProof/>
            <w:webHidden/>
            <w:rtl/>
          </w:rPr>
          <w:fldChar w:fldCharType="separate"/>
        </w:r>
        <w:r>
          <w:rPr>
            <w:noProof/>
            <w:webHidden/>
            <w:rtl/>
          </w:rPr>
          <w:t>15</w:t>
        </w:r>
        <w:r>
          <w:rPr>
            <w:noProof/>
            <w:webHidden/>
            <w:rtl/>
          </w:rPr>
          <w:fldChar w:fldCharType="end"/>
        </w:r>
      </w:hyperlink>
    </w:p>
    <w:p w:rsidR="00FF6F5F" w:rsidRDefault="00FF6F5F" w:rsidP="00FF6F5F">
      <w:pPr>
        <w:pStyle w:val="TOC3"/>
        <w:tabs>
          <w:tab w:val="right" w:leader="dot" w:pos="8296"/>
        </w:tabs>
        <w:spacing w:line="480" w:lineRule="auto"/>
        <w:rPr>
          <w:rFonts w:cs="Times New Roman"/>
          <w:noProof/>
          <w:sz w:val="24"/>
          <w:rtl/>
          <w:lang w:eastAsia="en-US"/>
        </w:rPr>
      </w:pPr>
      <w:hyperlink w:anchor="_Toc144716270" w:history="1">
        <w:r w:rsidRPr="005901E5">
          <w:rPr>
            <w:rStyle w:val="Hyperlink"/>
            <w:noProof/>
            <w:rtl/>
          </w:rPr>
          <w:t>ההכרה ההלכתית בעקרון השוויון כערך יסוד בחברה הדמוקרטית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Toc144716270 \h</w:instrText>
        </w:r>
        <w:r>
          <w:rPr>
            <w:noProof/>
            <w:webHidden/>
            <w:rtl/>
          </w:rPr>
          <w:instrText xml:space="preserve"> </w:instrText>
        </w:r>
        <w:r>
          <w:rPr>
            <w:noProof/>
          </w:rPr>
        </w:r>
        <w:r>
          <w:rPr>
            <w:noProof/>
            <w:webHidden/>
            <w:rtl/>
          </w:rPr>
          <w:fldChar w:fldCharType="separate"/>
        </w:r>
        <w:r>
          <w:rPr>
            <w:noProof/>
            <w:webHidden/>
            <w:rtl/>
          </w:rPr>
          <w:t>16</w:t>
        </w:r>
        <w:r>
          <w:rPr>
            <w:noProof/>
            <w:webHidden/>
            <w:rtl/>
          </w:rPr>
          <w:fldChar w:fldCharType="end"/>
        </w:r>
      </w:hyperlink>
    </w:p>
    <w:p w:rsidR="00FF6F5F" w:rsidRDefault="00FF6F5F" w:rsidP="00FF6F5F">
      <w:pPr>
        <w:pStyle w:val="TOC3"/>
        <w:tabs>
          <w:tab w:val="right" w:leader="dot" w:pos="8296"/>
        </w:tabs>
        <w:spacing w:line="480" w:lineRule="auto"/>
        <w:rPr>
          <w:rFonts w:cs="Times New Roman"/>
          <w:noProof/>
          <w:sz w:val="24"/>
          <w:rtl/>
          <w:lang w:eastAsia="en-US"/>
        </w:rPr>
      </w:pPr>
      <w:hyperlink w:anchor="_Toc144716271" w:history="1">
        <w:r w:rsidRPr="005901E5">
          <w:rPr>
            <w:rStyle w:val="Hyperlink"/>
            <w:noProof/>
            <w:rtl/>
          </w:rPr>
          <w:t>ההכרה בשוויון בעבודה כזכות הלכתית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Toc144716271 \h</w:instrText>
        </w:r>
        <w:r>
          <w:rPr>
            <w:noProof/>
            <w:webHidden/>
            <w:rtl/>
          </w:rPr>
          <w:instrText xml:space="preserve"> </w:instrText>
        </w:r>
        <w:r>
          <w:rPr>
            <w:noProof/>
          </w:rPr>
        </w:r>
        <w:r>
          <w:rPr>
            <w:noProof/>
            <w:webHidden/>
            <w:rtl/>
          </w:rPr>
          <w:fldChar w:fldCharType="separate"/>
        </w:r>
        <w:r>
          <w:rPr>
            <w:noProof/>
            <w:webHidden/>
            <w:rtl/>
          </w:rPr>
          <w:t>17</w:t>
        </w:r>
        <w:r>
          <w:rPr>
            <w:noProof/>
            <w:webHidden/>
            <w:rtl/>
          </w:rPr>
          <w:fldChar w:fldCharType="end"/>
        </w:r>
      </w:hyperlink>
    </w:p>
    <w:p w:rsidR="00FF6F5F" w:rsidRDefault="00FF6F5F" w:rsidP="00FF6F5F">
      <w:pPr>
        <w:pStyle w:val="TOC3"/>
        <w:tabs>
          <w:tab w:val="right" w:leader="dot" w:pos="8296"/>
        </w:tabs>
        <w:spacing w:line="480" w:lineRule="auto"/>
        <w:rPr>
          <w:rFonts w:cs="Times New Roman"/>
          <w:noProof/>
          <w:sz w:val="24"/>
          <w:rtl/>
          <w:lang w:eastAsia="en-US"/>
        </w:rPr>
      </w:pPr>
      <w:hyperlink w:anchor="_Toc144716272" w:history="1">
        <w:r w:rsidRPr="005901E5">
          <w:rPr>
            <w:rStyle w:val="Hyperlink"/>
            <w:noProof/>
            <w:rtl/>
          </w:rPr>
          <w:t>תוכן השוויון</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Toc144716272 \h</w:instrText>
        </w:r>
        <w:r>
          <w:rPr>
            <w:noProof/>
            <w:webHidden/>
            <w:rtl/>
          </w:rPr>
          <w:instrText xml:space="preserve"> </w:instrText>
        </w:r>
        <w:r>
          <w:rPr>
            <w:noProof/>
          </w:rPr>
        </w:r>
        <w:r>
          <w:rPr>
            <w:noProof/>
            <w:webHidden/>
            <w:rtl/>
          </w:rPr>
          <w:fldChar w:fldCharType="separate"/>
        </w:r>
        <w:r>
          <w:rPr>
            <w:noProof/>
            <w:webHidden/>
            <w:rtl/>
          </w:rPr>
          <w:t>19</w:t>
        </w:r>
        <w:r>
          <w:rPr>
            <w:noProof/>
            <w:webHidden/>
            <w:rtl/>
          </w:rPr>
          <w:fldChar w:fldCharType="end"/>
        </w:r>
      </w:hyperlink>
    </w:p>
    <w:p w:rsidR="00FF6F5F" w:rsidRDefault="00FF6F5F" w:rsidP="00FF6F5F">
      <w:pPr>
        <w:pStyle w:val="TOC3"/>
        <w:tabs>
          <w:tab w:val="right" w:leader="dot" w:pos="8296"/>
        </w:tabs>
        <w:spacing w:line="480" w:lineRule="auto"/>
        <w:rPr>
          <w:rFonts w:cs="Times New Roman"/>
          <w:noProof/>
          <w:sz w:val="24"/>
          <w:rtl/>
          <w:lang w:eastAsia="en-US"/>
        </w:rPr>
      </w:pPr>
      <w:hyperlink w:anchor="_Toc144716273" w:history="1">
        <w:r w:rsidRPr="005901E5">
          <w:rPr>
            <w:rStyle w:val="Hyperlink"/>
            <w:noProof/>
            <w:rtl/>
          </w:rPr>
          <w:t>הטעמים לאיסור אפליה: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Toc144716273 \h</w:instrText>
        </w:r>
        <w:r>
          <w:rPr>
            <w:noProof/>
            <w:webHidden/>
            <w:rtl/>
          </w:rPr>
          <w:instrText xml:space="preserve"> </w:instrText>
        </w:r>
        <w:r>
          <w:rPr>
            <w:noProof/>
          </w:rPr>
        </w:r>
        <w:r>
          <w:rPr>
            <w:noProof/>
            <w:webHidden/>
            <w:rtl/>
          </w:rPr>
          <w:fldChar w:fldCharType="separate"/>
        </w:r>
        <w:r>
          <w:rPr>
            <w:noProof/>
            <w:webHidden/>
            <w:rtl/>
          </w:rPr>
          <w:t>20</w:t>
        </w:r>
        <w:r>
          <w:rPr>
            <w:noProof/>
            <w:webHidden/>
            <w:rtl/>
          </w:rPr>
          <w:fldChar w:fldCharType="end"/>
        </w:r>
      </w:hyperlink>
    </w:p>
    <w:p w:rsidR="00FF6F5F" w:rsidRDefault="00FF6F5F" w:rsidP="00FF6F5F">
      <w:pPr>
        <w:pStyle w:val="TOC3"/>
        <w:tabs>
          <w:tab w:val="right" w:leader="dot" w:pos="8296"/>
        </w:tabs>
        <w:spacing w:line="480" w:lineRule="auto"/>
        <w:rPr>
          <w:rFonts w:cs="Times New Roman"/>
          <w:noProof/>
          <w:sz w:val="24"/>
          <w:rtl/>
          <w:lang w:eastAsia="en-US"/>
        </w:rPr>
      </w:pPr>
      <w:hyperlink w:anchor="_Toc144716274" w:history="1">
        <w:r w:rsidRPr="005901E5">
          <w:rPr>
            <w:rStyle w:val="Hyperlink"/>
            <w:noProof/>
            <w:rtl/>
          </w:rPr>
          <w:t>מהות השוויון:</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Toc144716274 \h</w:instrText>
        </w:r>
        <w:r>
          <w:rPr>
            <w:noProof/>
            <w:webHidden/>
            <w:rtl/>
          </w:rPr>
          <w:instrText xml:space="preserve"> </w:instrText>
        </w:r>
        <w:r>
          <w:rPr>
            <w:noProof/>
          </w:rPr>
        </w:r>
        <w:r>
          <w:rPr>
            <w:noProof/>
            <w:webHidden/>
            <w:rtl/>
          </w:rPr>
          <w:fldChar w:fldCharType="separate"/>
        </w:r>
        <w:r>
          <w:rPr>
            <w:noProof/>
            <w:webHidden/>
            <w:rtl/>
          </w:rPr>
          <w:t>20</w:t>
        </w:r>
        <w:r>
          <w:rPr>
            <w:noProof/>
            <w:webHidden/>
            <w:rtl/>
          </w:rPr>
          <w:fldChar w:fldCharType="end"/>
        </w:r>
      </w:hyperlink>
    </w:p>
    <w:p w:rsidR="00FF6F5F" w:rsidRDefault="00FF6F5F" w:rsidP="00FF6F5F">
      <w:pPr>
        <w:pStyle w:val="TOC3"/>
        <w:tabs>
          <w:tab w:val="right" w:leader="dot" w:pos="8296"/>
        </w:tabs>
        <w:spacing w:line="480" w:lineRule="auto"/>
        <w:rPr>
          <w:rFonts w:cs="Times New Roman"/>
          <w:noProof/>
          <w:sz w:val="24"/>
          <w:rtl/>
          <w:lang w:eastAsia="en-US"/>
        </w:rPr>
      </w:pPr>
      <w:hyperlink w:anchor="_Toc144716275" w:history="1">
        <w:r w:rsidRPr="005901E5">
          <w:rPr>
            <w:rStyle w:val="Hyperlink"/>
            <w:noProof/>
            <w:rtl/>
          </w:rPr>
          <w:t>העדר כוונה: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Toc144716275 \h</w:instrText>
        </w:r>
        <w:r>
          <w:rPr>
            <w:noProof/>
            <w:webHidden/>
            <w:rtl/>
          </w:rPr>
          <w:instrText xml:space="preserve"> </w:instrText>
        </w:r>
        <w:r>
          <w:rPr>
            <w:noProof/>
          </w:rPr>
        </w:r>
        <w:r>
          <w:rPr>
            <w:noProof/>
            <w:webHidden/>
            <w:rtl/>
          </w:rPr>
          <w:fldChar w:fldCharType="separate"/>
        </w:r>
        <w:r>
          <w:rPr>
            <w:noProof/>
            <w:webHidden/>
            <w:rtl/>
          </w:rPr>
          <w:t>21</w:t>
        </w:r>
        <w:r>
          <w:rPr>
            <w:noProof/>
            <w:webHidden/>
            <w:rtl/>
          </w:rPr>
          <w:fldChar w:fldCharType="end"/>
        </w:r>
      </w:hyperlink>
    </w:p>
    <w:p w:rsidR="00FF6F5F" w:rsidRDefault="00FF6F5F" w:rsidP="00FF6F5F">
      <w:pPr>
        <w:pStyle w:val="TOC3"/>
        <w:tabs>
          <w:tab w:val="right" w:leader="dot" w:pos="8296"/>
        </w:tabs>
        <w:spacing w:line="480" w:lineRule="auto"/>
        <w:rPr>
          <w:rFonts w:cs="Times New Roman"/>
          <w:noProof/>
          <w:sz w:val="24"/>
          <w:rtl/>
          <w:lang w:eastAsia="en-US"/>
        </w:rPr>
      </w:pPr>
      <w:hyperlink w:anchor="_Toc144716276" w:history="1">
        <w:r w:rsidRPr="005901E5">
          <w:rPr>
            <w:rStyle w:val="Hyperlink"/>
            <w:noProof/>
            <w:rtl/>
          </w:rPr>
          <w:t>משמעות ההכרה בשוויון</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Toc144716276 \h</w:instrText>
        </w:r>
        <w:r>
          <w:rPr>
            <w:noProof/>
            <w:webHidden/>
            <w:rtl/>
          </w:rPr>
          <w:instrText xml:space="preserve"> </w:instrText>
        </w:r>
        <w:r>
          <w:rPr>
            <w:noProof/>
          </w:rPr>
        </w:r>
        <w:r>
          <w:rPr>
            <w:noProof/>
            <w:webHidden/>
            <w:rtl/>
          </w:rPr>
          <w:fldChar w:fldCharType="separate"/>
        </w:r>
        <w:r>
          <w:rPr>
            <w:noProof/>
            <w:webHidden/>
            <w:rtl/>
          </w:rPr>
          <w:t>22</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77" w:history="1">
        <w:r w:rsidRPr="005901E5">
          <w:rPr>
            <w:rStyle w:val="Hyperlink"/>
            <w:noProof/>
            <w:rtl/>
          </w:rPr>
          <w:t>2. שוויון בעבודה כזכות חוקית: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Toc144716277 \h</w:instrText>
        </w:r>
        <w:r>
          <w:rPr>
            <w:noProof/>
            <w:webHidden/>
            <w:rtl/>
          </w:rPr>
          <w:instrText xml:space="preserve"> </w:instrText>
        </w:r>
        <w:r>
          <w:rPr>
            <w:noProof/>
          </w:rPr>
        </w:r>
        <w:r>
          <w:rPr>
            <w:noProof/>
            <w:webHidden/>
            <w:rtl/>
          </w:rPr>
          <w:fldChar w:fldCharType="separate"/>
        </w:r>
        <w:r>
          <w:rPr>
            <w:noProof/>
            <w:webHidden/>
            <w:rtl/>
          </w:rPr>
          <w:t>24</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78" w:history="1">
        <w:r w:rsidRPr="005901E5">
          <w:rPr>
            <w:rStyle w:val="Hyperlink"/>
            <w:noProof/>
            <w:rtl/>
          </w:rPr>
          <w:t>חריגים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Toc144716278 \h</w:instrText>
        </w:r>
        <w:r>
          <w:rPr>
            <w:noProof/>
            <w:webHidden/>
            <w:rtl/>
          </w:rPr>
          <w:instrText xml:space="preserve"> </w:instrText>
        </w:r>
        <w:r>
          <w:rPr>
            <w:noProof/>
          </w:rPr>
        </w:r>
        <w:r>
          <w:rPr>
            <w:noProof/>
            <w:webHidden/>
            <w:rtl/>
          </w:rPr>
          <w:fldChar w:fldCharType="separate"/>
        </w:r>
        <w:r>
          <w:rPr>
            <w:noProof/>
            <w:webHidden/>
            <w:rtl/>
          </w:rPr>
          <w:t>27</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79" w:history="1">
        <w:r w:rsidRPr="005901E5">
          <w:rPr>
            <w:rStyle w:val="Hyperlink"/>
            <w:noProof/>
            <w:rtl/>
          </w:rPr>
          <w:t>סיכום ביניים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Toc144716279 \h</w:instrText>
        </w:r>
        <w:r>
          <w:rPr>
            <w:noProof/>
            <w:webHidden/>
            <w:rtl/>
          </w:rPr>
          <w:instrText xml:space="preserve"> </w:instrText>
        </w:r>
        <w:r>
          <w:rPr>
            <w:noProof/>
          </w:rPr>
        </w:r>
        <w:r>
          <w:rPr>
            <w:noProof/>
            <w:webHidden/>
            <w:rtl/>
          </w:rPr>
          <w:fldChar w:fldCharType="separate"/>
        </w:r>
        <w:r>
          <w:rPr>
            <w:noProof/>
            <w:webHidden/>
            <w:rtl/>
          </w:rPr>
          <w:t>29</w:t>
        </w:r>
        <w:r>
          <w:rPr>
            <w:noProof/>
            <w:webHidden/>
            <w:rtl/>
          </w:rPr>
          <w:fldChar w:fldCharType="end"/>
        </w:r>
      </w:hyperlink>
    </w:p>
    <w:p w:rsidR="00FF6F5F" w:rsidRDefault="00FF6F5F" w:rsidP="00FF6F5F">
      <w:pPr>
        <w:pStyle w:val="TOC1"/>
        <w:tabs>
          <w:tab w:val="right" w:leader="dot" w:pos="8296"/>
        </w:tabs>
        <w:spacing w:line="480" w:lineRule="auto"/>
        <w:rPr>
          <w:rFonts w:cs="Times New Roman"/>
          <w:noProof/>
          <w:sz w:val="24"/>
          <w:rtl/>
          <w:lang w:eastAsia="en-US"/>
        </w:rPr>
      </w:pPr>
      <w:hyperlink w:anchor="_Toc144716280" w:history="1">
        <w:r w:rsidRPr="005901E5">
          <w:rPr>
            <w:rStyle w:val="Hyperlink"/>
            <w:noProof/>
            <w:rtl/>
          </w:rPr>
          <w:t>פרק ג: החזר ההוצאות כמתן טובת הנאה לעובד</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Toc144716280 \h</w:instrText>
        </w:r>
        <w:r>
          <w:rPr>
            <w:noProof/>
            <w:webHidden/>
            <w:rtl/>
          </w:rPr>
          <w:instrText xml:space="preserve"> </w:instrText>
        </w:r>
        <w:r>
          <w:rPr>
            <w:noProof/>
          </w:rPr>
        </w:r>
        <w:r>
          <w:rPr>
            <w:noProof/>
            <w:webHidden/>
            <w:rtl/>
          </w:rPr>
          <w:fldChar w:fldCharType="separate"/>
        </w:r>
        <w:r>
          <w:rPr>
            <w:noProof/>
            <w:webHidden/>
            <w:rtl/>
          </w:rPr>
          <w:t>31</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81" w:history="1">
        <w:r w:rsidRPr="005901E5">
          <w:rPr>
            <w:rStyle w:val="Hyperlink"/>
            <w:noProof/>
            <w:rtl/>
          </w:rPr>
          <w:t>רקע</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Toc144716281 \h</w:instrText>
        </w:r>
        <w:r>
          <w:rPr>
            <w:noProof/>
            <w:webHidden/>
            <w:rtl/>
          </w:rPr>
          <w:instrText xml:space="preserve"> </w:instrText>
        </w:r>
        <w:r>
          <w:rPr>
            <w:noProof/>
          </w:rPr>
        </w:r>
        <w:r>
          <w:rPr>
            <w:noProof/>
            <w:webHidden/>
            <w:rtl/>
          </w:rPr>
          <w:fldChar w:fldCharType="separate"/>
        </w:r>
        <w:r>
          <w:rPr>
            <w:noProof/>
            <w:webHidden/>
            <w:rtl/>
          </w:rPr>
          <w:t>31</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82" w:history="1">
        <w:r w:rsidRPr="005901E5">
          <w:rPr>
            <w:rStyle w:val="Hyperlink"/>
            <w:noProof/>
            <w:rtl/>
          </w:rPr>
          <w:t>המצב החוקי כיום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Toc144716282 \h</w:instrText>
        </w:r>
        <w:r>
          <w:rPr>
            <w:noProof/>
            <w:webHidden/>
            <w:rtl/>
          </w:rPr>
          <w:instrText xml:space="preserve"> </w:instrText>
        </w:r>
        <w:r>
          <w:rPr>
            <w:noProof/>
          </w:rPr>
        </w:r>
        <w:r>
          <w:rPr>
            <w:noProof/>
            <w:webHidden/>
            <w:rtl/>
          </w:rPr>
          <w:fldChar w:fldCharType="separate"/>
        </w:r>
        <w:r>
          <w:rPr>
            <w:noProof/>
            <w:webHidden/>
            <w:rtl/>
          </w:rPr>
          <w:t>32</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83" w:history="1">
        <w:r w:rsidRPr="005901E5">
          <w:rPr>
            <w:rStyle w:val="Hyperlink"/>
            <w:noProof/>
            <w:rtl/>
          </w:rPr>
          <w:t>פירוט מרכיבי סעיף 2(2) – מקורות הכנסה מעבודה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Toc144716283 \h</w:instrText>
        </w:r>
        <w:r>
          <w:rPr>
            <w:noProof/>
            <w:webHidden/>
            <w:rtl/>
          </w:rPr>
          <w:instrText xml:space="preserve"> </w:instrText>
        </w:r>
        <w:r>
          <w:rPr>
            <w:noProof/>
          </w:rPr>
        </w:r>
        <w:r>
          <w:rPr>
            <w:noProof/>
            <w:webHidden/>
            <w:rtl/>
          </w:rPr>
          <w:fldChar w:fldCharType="separate"/>
        </w:r>
        <w:r>
          <w:rPr>
            <w:noProof/>
            <w:webHidden/>
            <w:rtl/>
          </w:rPr>
          <w:t>33</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84" w:history="1">
        <w:r w:rsidRPr="005901E5">
          <w:rPr>
            <w:rStyle w:val="Hyperlink"/>
            <w:noProof/>
            <w:rtl/>
          </w:rPr>
          <w:t>סיכום ביניים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Toc144716284 \h</w:instrText>
        </w:r>
        <w:r>
          <w:rPr>
            <w:noProof/>
            <w:webHidden/>
            <w:rtl/>
          </w:rPr>
          <w:instrText xml:space="preserve"> </w:instrText>
        </w:r>
        <w:r>
          <w:rPr>
            <w:noProof/>
          </w:rPr>
        </w:r>
        <w:r>
          <w:rPr>
            <w:noProof/>
            <w:webHidden/>
            <w:rtl/>
          </w:rPr>
          <w:fldChar w:fldCharType="separate"/>
        </w:r>
        <w:r>
          <w:rPr>
            <w:noProof/>
            <w:webHidden/>
            <w:rtl/>
          </w:rPr>
          <w:t>35</w:t>
        </w:r>
        <w:r>
          <w:rPr>
            <w:noProof/>
            <w:webHidden/>
            <w:rtl/>
          </w:rPr>
          <w:fldChar w:fldCharType="end"/>
        </w:r>
      </w:hyperlink>
    </w:p>
    <w:p w:rsidR="00FF6F5F" w:rsidRDefault="00FF6F5F" w:rsidP="00FF6F5F">
      <w:pPr>
        <w:pStyle w:val="TOC1"/>
        <w:tabs>
          <w:tab w:val="right" w:leader="dot" w:pos="8296"/>
        </w:tabs>
        <w:spacing w:line="480" w:lineRule="auto"/>
        <w:rPr>
          <w:rFonts w:cs="Times New Roman"/>
          <w:noProof/>
          <w:sz w:val="24"/>
          <w:rtl/>
          <w:lang w:eastAsia="en-US"/>
        </w:rPr>
      </w:pPr>
      <w:hyperlink w:anchor="_Toc144716285" w:history="1">
        <w:r w:rsidRPr="005901E5">
          <w:rPr>
            <w:rStyle w:val="Hyperlink"/>
            <w:noProof/>
            <w:rtl/>
          </w:rPr>
          <w:t>פרק ד: דרכי פעולה אפשריות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Toc144716285 \h</w:instrText>
        </w:r>
        <w:r>
          <w:rPr>
            <w:noProof/>
            <w:webHidden/>
            <w:rtl/>
          </w:rPr>
          <w:instrText xml:space="preserve"> </w:instrText>
        </w:r>
        <w:r>
          <w:rPr>
            <w:noProof/>
          </w:rPr>
        </w:r>
        <w:r>
          <w:rPr>
            <w:noProof/>
            <w:webHidden/>
            <w:rtl/>
          </w:rPr>
          <w:fldChar w:fldCharType="separate"/>
        </w:r>
        <w:r>
          <w:rPr>
            <w:noProof/>
            <w:webHidden/>
            <w:rtl/>
          </w:rPr>
          <w:t>36</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86" w:history="1">
        <w:r w:rsidRPr="005901E5">
          <w:rPr>
            <w:rStyle w:val="Hyperlink"/>
            <w:noProof/>
            <w:rtl/>
          </w:rPr>
          <w:t>פניה לחשב הכללי או למשרד האוצר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Toc144716286 \h</w:instrText>
        </w:r>
        <w:r>
          <w:rPr>
            <w:noProof/>
            <w:webHidden/>
            <w:rtl/>
          </w:rPr>
          <w:instrText xml:space="preserve"> </w:instrText>
        </w:r>
        <w:r>
          <w:rPr>
            <w:noProof/>
          </w:rPr>
        </w:r>
        <w:r>
          <w:rPr>
            <w:noProof/>
            <w:webHidden/>
            <w:rtl/>
          </w:rPr>
          <w:fldChar w:fldCharType="separate"/>
        </w:r>
        <w:r>
          <w:rPr>
            <w:noProof/>
            <w:webHidden/>
            <w:rtl/>
          </w:rPr>
          <w:t>36</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87" w:history="1">
        <w:r w:rsidRPr="005901E5">
          <w:rPr>
            <w:rStyle w:val="Hyperlink"/>
            <w:noProof/>
            <w:rtl/>
          </w:rPr>
          <w:t>פנייה לערכאות שיפוטיות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Toc144716287 \h</w:instrText>
        </w:r>
        <w:r>
          <w:rPr>
            <w:noProof/>
            <w:webHidden/>
            <w:rtl/>
          </w:rPr>
          <w:instrText xml:space="preserve"> </w:instrText>
        </w:r>
        <w:r>
          <w:rPr>
            <w:noProof/>
          </w:rPr>
        </w:r>
        <w:r>
          <w:rPr>
            <w:noProof/>
            <w:webHidden/>
            <w:rtl/>
          </w:rPr>
          <w:fldChar w:fldCharType="separate"/>
        </w:r>
        <w:r>
          <w:rPr>
            <w:noProof/>
            <w:webHidden/>
            <w:rtl/>
          </w:rPr>
          <w:t>37</w:t>
        </w:r>
        <w:r>
          <w:rPr>
            <w:noProof/>
            <w:webHidden/>
            <w:rtl/>
          </w:rPr>
          <w:fldChar w:fldCharType="end"/>
        </w:r>
      </w:hyperlink>
    </w:p>
    <w:p w:rsidR="00FF6F5F" w:rsidRDefault="00FF6F5F" w:rsidP="00FF6F5F">
      <w:pPr>
        <w:pStyle w:val="TOC1"/>
        <w:tabs>
          <w:tab w:val="right" w:leader="dot" w:pos="8296"/>
        </w:tabs>
        <w:spacing w:line="480" w:lineRule="auto"/>
        <w:rPr>
          <w:rFonts w:cs="Times New Roman"/>
          <w:noProof/>
          <w:sz w:val="24"/>
          <w:rtl/>
          <w:lang w:eastAsia="en-US"/>
        </w:rPr>
      </w:pPr>
      <w:hyperlink w:anchor="_Toc144716288" w:history="1">
        <w:r w:rsidRPr="005901E5">
          <w:rPr>
            <w:rStyle w:val="Hyperlink"/>
            <w:noProof/>
            <w:rtl/>
          </w:rPr>
          <w:t>סיכום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Toc144716288 \h</w:instrText>
        </w:r>
        <w:r>
          <w:rPr>
            <w:noProof/>
            <w:webHidden/>
            <w:rtl/>
          </w:rPr>
          <w:instrText xml:space="preserve"> </w:instrText>
        </w:r>
        <w:r>
          <w:rPr>
            <w:noProof/>
          </w:rPr>
        </w:r>
        <w:r>
          <w:rPr>
            <w:noProof/>
            <w:webHidden/>
            <w:rtl/>
          </w:rPr>
          <w:fldChar w:fldCharType="separate"/>
        </w:r>
        <w:r>
          <w:rPr>
            <w:noProof/>
            <w:webHidden/>
            <w:rtl/>
          </w:rPr>
          <w:t>39</w:t>
        </w:r>
        <w:r>
          <w:rPr>
            <w:noProof/>
            <w:webHidden/>
            <w:rtl/>
          </w:rPr>
          <w:fldChar w:fldCharType="end"/>
        </w:r>
      </w:hyperlink>
    </w:p>
    <w:p w:rsidR="00FF6F5F" w:rsidRDefault="00FF6F5F" w:rsidP="00FF6F5F">
      <w:pPr>
        <w:pStyle w:val="TOC1"/>
        <w:tabs>
          <w:tab w:val="right" w:leader="dot" w:pos="8296"/>
        </w:tabs>
        <w:spacing w:line="480" w:lineRule="auto"/>
        <w:rPr>
          <w:rFonts w:cs="Times New Roman"/>
          <w:noProof/>
          <w:sz w:val="24"/>
          <w:rtl/>
          <w:lang w:eastAsia="en-US"/>
        </w:rPr>
      </w:pPr>
      <w:hyperlink w:anchor="_Toc144716289" w:history="1">
        <w:r w:rsidRPr="005901E5">
          <w:rPr>
            <w:rStyle w:val="Hyperlink"/>
            <w:noProof/>
            <w:rtl/>
          </w:rPr>
          <w:t>רשימת מקורות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Toc144716289 \h</w:instrText>
        </w:r>
        <w:r>
          <w:rPr>
            <w:noProof/>
            <w:webHidden/>
            <w:rtl/>
          </w:rPr>
          <w:instrText xml:space="preserve"> </w:instrText>
        </w:r>
        <w:r>
          <w:rPr>
            <w:noProof/>
          </w:rPr>
        </w:r>
        <w:r>
          <w:rPr>
            <w:noProof/>
            <w:webHidden/>
            <w:rtl/>
          </w:rPr>
          <w:fldChar w:fldCharType="separate"/>
        </w:r>
        <w:r>
          <w:rPr>
            <w:noProof/>
            <w:webHidden/>
            <w:rtl/>
          </w:rPr>
          <w:t>41</w:t>
        </w:r>
        <w:r>
          <w:rPr>
            <w:noProof/>
            <w:webHidden/>
            <w:rtl/>
          </w:rPr>
          <w:fldChar w:fldCharType="end"/>
        </w:r>
      </w:hyperlink>
    </w:p>
    <w:p w:rsidR="00FF6F5F" w:rsidRDefault="00FF6F5F" w:rsidP="00FF6F5F">
      <w:pPr>
        <w:pStyle w:val="TOC1"/>
        <w:tabs>
          <w:tab w:val="right" w:leader="dot" w:pos="8296"/>
        </w:tabs>
        <w:spacing w:line="480" w:lineRule="auto"/>
        <w:rPr>
          <w:rFonts w:cs="Times New Roman"/>
          <w:noProof/>
          <w:sz w:val="24"/>
          <w:rtl/>
          <w:lang w:eastAsia="en-US"/>
        </w:rPr>
      </w:pPr>
      <w:hyperlink w:anchor="_Toc144716290" w:history="1">
        <w:r w:rsidRPr="005901E5">
          <w:rPr>
            <w:rStyle w:val="Hyperlink"/>
            <w:noProof/>
            <w:rtl/>
          </w:rPr>
          <w:t>נספחים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Toc144716290 \h</w:instrText>
        </w:r>
        <w:r>
          <w:rPr>
            <w:noProof/>
            <w:webHidden/>
            <w:rtl/>
          </w:rPr>
          <w:instrText xml:space="preserve"> </w:instrText>
        </w:r>
        <w:r>
          <w:rPr>
            <w:noProof/>
          </w:rPr>
        </w:r>
        <w:r>
          <w:rPr>
            <w:noProof/>
            <w:webHidden/>
            <w:rtl/>
          </w:rPr>
          <w:fldChar w:fldCharType="separate"/>
        </w:r>
        <w:r>
          <w:rPr>
            <w:noProof/>
            <w:webHidden/>
            <w:rtl/>
          </w:rPr>
          <w:t>43</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91" w:history="1">
        <w:r w:rsidRPr="005901E5">
          <w:rPr>
            <w:rStyle w:val="Hyperlink"/>
            <w:noProof/>
            <w:rtl/>
          </w:rPr>
          <w:t>נספח א – חוזר החשב הכללי לשנת 2006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Toc144716291 \h</w:instrText>
        </w:r>
        <w:r>
          <w:rPr>
            <w:noProof/>
            <w:webHidden/>
            <w:rtl/>
          </w:rPr>
          <w:instrText xml:space="preserve"> </w:instrText>
        </w:r>
        <w:r>
          <w:rPr>
            <w:noProof/>
          </w:rPr>
        </w:r>
        <w:r>
          <w:rPr>
            <w:noProof/>
            <w:webHidden/>
            <w:rtl/>
          </w:rPr>
          <w:fldChar w:fldCharType="separate"/>
        </w:r>
        <w:r>
          <w:rPr>
            <w:noProof/>
            <w:webHidden/>
            <w:rtl/>
          </w:rPr>
          <w:t>43</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92" w:history="1">
        <w:r w:rsidRPr="005901E5">
          <w:rPr>
            <w:rStyle w:val="Hyperlink"/>
            <w:noProof/>
            <w:rtl/>
          </w:rPr>
          <w:t>נספח ב – דוגמא לטבלאות החזרי הוצאות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Toc144716292 \h</w:instrText>
        </w:r>
        <w:r>
          <w:rPr>
            <w:noProof/>
            <w:webHidden/>
            <w:rtl/>
          </w:rPr>
          <w:instrText xml:space="preserve"> </w:instrText>
        </w:r>
        <w:r>
          <w:rPr>
            <w:noProof/>
          </w:rPr>
        </w:r>
        <w:r>
          <w:rPr>
            <w:noProof/>
            <w:webHidden/>
            <w:rtl/>
          </w:rPr>
          <w:fldChar w:fldCharType="separate"/>
        </w:r>
        <w:r>
          <w:rPr>
            <w:noProof/>
            <w:webHidden/>
            <w:rtl/>
          </w:rPr>
          <w:t>54</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93" w:history="1">
        <w:r w:rsidRPr="005901E5">
          <w:rPr>
            <w:rStyle w:val="Hyperlink"/>
            <w:noProof/>
            <w:rtl/>
          </w:rPr>
          <w:t>נספח ג – קבלת רשיון נהיגה בהשוואה מגדרית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Toc144716293 \h</w:instrText>
        </w:r>
        <w:r>
          <w:rPr>
            <w:noProof/>
            <w:webHidden/>
            <w:rtl/>
          </w:rPr>
          <w:instrText xml:space="preserve"> </w:instrText>
        </w:r>
        <w:r>
          <w:rPr>
            <w:noProof/>
          </w:rPr>
        </w:r>
        <w:r>
          <w:rPr>
            <w:noProof/>
            <w:webHidden/>
            <w:rtl/>
          </w:rPr>
          <w:fldChar w:fldCharType="separate"/>
        </w:r>
        <w:r>
          <w:rPr>
            <w:noProof/>
            <w:webHidden/>
            <w:rtl/>
          </w:rPr>
          <w:t>58</w:t>
        </w:r>
        <w:r>
          <w:rPr>
            <w:noProof/>
            <w:webHidden/>
            <w:rtl/>
          </w:rPr>
          <w:fldChar w:fldCharType="end"/>
        </w:r>
      </w:hyperlink>
    </w:p>
    <w:p w:rsidR="00FF6F5F" w:rsidRDefault="00FF6F5F" w:rsidP="00FF6F5F">
      <w:pPr>
        <w:pStyle w:val="TOC2"/>
        <w:tabs>
          <w:tab w:val="right" w:leader="dot" w:pos="8296"/>
        </w:tabs>
        <w:spacing w:line="480" w:lineRule="auto"/>
        <w:rPr>
          <w:rFonts w:cs="Times New Roman"/>
          <w:noProof/>
          <w:sz w:val="24"/>
          <w:rtl/>
          <w:lang w:eastAsia="en-US"/>
        </w:rPr>
      </w:pPr>
      <w:hyperlink w:anchor="_Toc144716294" w:history="1">
        <w:r w:rsidRPr="005901E5">
          <w:rPr>
            <w:rStyle w:val="Hyperlink"/>
            <w:noProof/>
            <w:rtl/>
          </w:rPr>
          <w:t>נספח ד – דו"ח הוצאות השכר בשירות המדינה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Toc144716294 \h</w:instrText>
        </w:r>
        <w:r>
          <w:rPr>
            <w:noProof/>
            <w:webHidden/>
            <w:rtl/>
          </w:rPr>
          <w:instrText xml:space="preserve"> </w:instrText>
        </w:r>
        <w:r>
          <w:rPr>
            <w:noProof/>
          </w:rPr>
        </w:r>
        <w:r>
          <w:rPr>
            <w:noProof/>
            <w:webHidden/>
            <w:rtl/>
          </w:rPr>
          <w:fldChar w:fldCharType="separate"/>
        </w:r>
        <w:r>
          <w:rPr>
            <w:noProof/>
            <w:webHidden/>
            <w:rtl/>
          </w:rPr>
          <w:t>59</w:t>
        </w:r>
        <w:r>
          <w:rPr>
            <w:noProof/>
            <w:webHidden/>
            <w:rtl/>
          </w:rPr>
          <w:fldChar w:fldCharType="end"/>
        </w:r>
      </w:hyperlink>
    </w:p>
    <w:p w:rsidR="00914B5C" w:rsidRDefault="00937B20" w:rsidP="00FF6F5F">
      <w:pPr>
        <w:spacing w:before="60" w:line="360" w:lineRule="auto"/>
        <w:ind w:left="360"/>
        <w:jc w:val="both"/>
        <w:rPr>
          <w:rFonts w:hint="cs"/>
          <w:rtl/>
        </w:rPr>
      </w:pPr>
      <w:r>
        <w:rPr>
          <w:rtl/>
        </w:rPr>
        <w:fldChar w:fldCharType="end"/>
      </w:r>
    </w:p>
    <w:p w:rsidR="00914B5C" w:rsidRDefault="00914B5C" w:rsidP="00914B5C">
      <w:pPr>
        <w:rPr>
          <w:rFonts w:hint="cs"/>
          <w:rtl/>
        </w:rPr>
      </w:pPr>
    </w:p>
    <w:p w:rsidR="00FC5613" w:rsidRPr="00547821" w:rsidRDefault="00FF6F5F" w:rsidP="00FC5613">
      <w:pPr>
        <w:pStyle w:val="1"/>
        <w:spacing w:line="340" w:lineRule="exact"/>
        <w:rPr>
          <w:rFonts w:hint="cs"/>
          <w:rtl/>
        </w:rPr>
      </w:pPr>
      <w:bookmarkStart w:id="0" w:name="_Toc144716253"/>
      <w:r>
        <w:rPr>
          <w:rtl/>
        </w:rPr>
        <w:br w:type="page"/>
      </w:r>
      <w:r w:rsidR="00FC5613">
        <w:rPr>
          <w:rFonts w:hint="cs"/>
          <w:rtl/>
        </w:rPr>
        <w:lastRenderedPageBreak/>
        <w:t>תקציר</w:t>
      </w:r>
      <w:bookmarkEnd w:id="0"/>
    </w:p>
    <w:p w:rsidR="00FC5613" w:rsidRDefault="00FC5613" w:rsidP="00FC5613">
      <w:pPr>
        <w:spacing w:line="340" w:lineRule="exact"/>
        <w:jc w:val="both"/>
        <w:rPr>
          <w:rFonts w:hint="cs"/>
          <w:rtl/>
        </w:rPr>
      </w:pPr>
      <w:r w:rsidRPr="00547821">
        <w:rPr>
          <w:rFonts w:hint="eastAsia"/>
          <w:rtl/>
        </w:rPr>
        <w:t>חוות</w:t>
      </w:r>
      <w:r w:rsidRPr="00547821">
        <w:rPr>
          <w:rtl/>
        </w:rPr>
        <w:t xml:space="preserve"> דעת </w:t>
      </w:r>
      <w:r w:rsidRPr="00547821">
        <w:rPr>
          <w:rFonts w:hint="eastAsia"/>
          <w:rtl/>
        </w:rPr>
        <w:t>זו</w:t>
      </w:r>
      <w:r w:rsidRPr="00547821">
        <w:rPr>
          <w:rtl/>
        </w:rPr>
        <w:t xml:space="preserve"> </w:t>
      </w:r>
      <w:r w:rsidRPr="00547821">
        <w:rPr>
          <w:rFonts w:hint="cs"/>
          <w:rtl/>
        </w:rPr>
        <w:t xml:space="preserve">בוחנת את ההיבט המשפטי של </w:t>
      </w:r>
      <w:r w:rsidRPr="00FC5613">
        <w:rPr>
          <w:rFonts w:hint="cs"/>
          <w:b/>
          <w:bCs/>
          <w:rtl/>
        </w:rPr>
        <w:t>ה</w:t>
      </w:r>
      <w:r w:rsidRPr="00FC5613">
        <w:rPr>
          <w:b/>
          <w:bCs/>
          <w:rtl/>
        </w:rPr>
        <w:t>וראה בחוזר החשב הכללי</w:t>
      </w:r>
      <w:r w:rsidRPr="00547821">
        <w:rPr>
          <w:rFonts w:hint="cs"/>
          <w:rtl/>
        </w:rPr>
        <w:t xml:space="preserve"> </w:t>
      </w:r>
      <w:r w:rsidRPr="00547821">
        <w:rPr>
          <w:rtl/>
        </w:rPr>
        <w:t xml:space="preserve">שעניינה </w:t>
      </w:r>
      <w:r w:rsidRPr="00FC5613">
        <w:rPr>
          <w:b/>
          <w:bCs/>
          <w:rtl/>
        </w:rPr>
        <w:t>החזר הוצאות רכב</w:t>
      </w:r>
      <w:r w:rsidRPr="00547821">
        <w:rPr>
          <w:rtl/>
        </w:rPr>
        <w:t xml:space="preserve"> לעובדים</w:t>
      </w:r>
      <w:r w:rsidRPr="00547821">
        <w:rPr>
          <w:rFonts w:hint="cs"/>
          <w:rtl/>
        </w:rPr>
        <w:t xml:space="preserve"> המבצעים נסיעות בתפקיד. </w:t>
      </w:r>
      <w:r w:rsidRPr="00547821">
        <w:rPr>
          <w:rFonts w:hint="eastAsia"/>
          <w:rtl/>
        </w:rPr>
        <w:t>ההוראה</w:t>
      </w:r>
      <w:r w:rsidRPr="00547821">
        <w:rPr>
          <w:rFonts w:hint="cs"/>
          <w:rtl/>
        </w:rPr>
        <w:t xml:space="preserve"> </w:t>
      </w:r>
      <w:r w:rsidRPr="00547821">
        <w:rPr>
          <w:rtl/>
        </w:rPr>
        <w:t xml:space="preserve">קובעת </w:t>
      </w:r>
      <w:r w:rsidRPr="00547821">
        <w:rPr>
          <w:rFonts w:hint="eastAsia"/>
          <w:rtl/>
        </w:rPr>
        <w:t>כתנאי</w:t>
      </w:r>
      <w:r w:rsidRPr="00547821">
        <w:rPr>
          <w:rtl/>
        </w:rPr>
        <w:t xml:space="preserve"> להחזר הוצאות רכב</w:t>
      </w:r>
      <w:r w:rsidRPr="00547821">
        <w:rPr>
          <w:rFonts w:hint="cs"/>
          <w:rtl/>
        </w:rPr>
        <w:t>:</w:t>
      </w:r>
      <w:r w:rsidRPr="00547821">
        <w:rPr>
          <w:rtl/>
        </w:rPr>
        <w:t xml:space="preserve"> הוכחת בעלות של העובד או של בן זוגו על רכב</w:t>
      </w:r>
      <w:r w:rsidRPr="00547821">
        <w:rPr>
          <w:rFonts w:hint="cs"/>
          <w:rtl/>
        </w:rPr>
        <w:t xml:space="preserve"> והחזקת רשיון נהיגה בר תוקף. </w:t>
      </w:r>
      <w:r w:rsidRPr="00547821">
        <w:rPr>
          <w:rFonts w:hint="eastAsia"/>
          <w:rtl/>
        </w:rPr>
        <w:t>בהעדר</w:t>
      </w:r>
      <w:r w:rsidRPr="00547821">
        <w:rPr>
          <w:rtl/>
        </w:rPr>
        <w:t xml:space="preserve"> הוכחה </w:t>
      </w:r>
      <w:r w:rsidRPr="00547821">
        <w:rPr>
          <w:rFonts w:hint="eastAsia"/>
          <w:rtl/>
        </w:rPr>
        <w:t>כאמור</w:t>
      </w:r>
      <w:r w:rsidRPr="00547821">
        <w:rPr>
          <w:rtl/>
        </w:rPr>
        <w:t xml:space="preserve">, העובד יזכה להחזר קצובת נסיעה ששיעוריה נמוכים משיעורי החזר </w:t>
      </w:r>
      <w:r w:rsidRPr="00547821">
        <w:rPr>
          <w:rFonts w:hint="eastAsia"/>
          <w:rtl/>
        </w:rPr>
        <w:t>הוצאות</w:t>
      </w:r>
      <w:r w:rsidRPr="00547821">
        <w:rPr>
          <w:rtl/>
        </w:rPr>
        <w:t xml:space="preserve"> רכב.</w:t>
      </w:r>
      <w:r>
        <w:rPr>
          <w:rFonts w:hint="cs"/>
          <w:rtl/>
        </w:rPr>
        <w:t xml:space="preserve"> </w:t>
      </w:r>
      <w:r w:rsidRPr="00547821">
        <w:rPr>
          <w:rFonts w:hint="cs"/>
          <w:rtl/>
        </w:rPr>
        <w:t xml:space="preserve">ההנחה היא </w:t>
      </w:r>
      <w:r w:rsidRPr="00547821">
        <w:rPr>
          <w:rtl/>
        </w:rPr>
        <w:t xml:space="preserve">כי </w:t>
      </w:r>
      <w:r w:rsidRPr="00547821">
        <w:rPr>
          <w:rFonts w:hint="eastAsia"/>
          <w:rtl/>
        </w:rPr>
        <w:t>הוראה</w:t>
      </w:r>
      <w:r w:rsidRPr="00547821">
        <w:rPr>
          <w:rtl/>
        </w:rPr>
        <w:t xml:space="preserve"> זו מפלה לטובה את בעלי הרכב, ובפועל מתמרצת עובדים לרכוש מכוניות ולהשתמש בהן.</w:t>
      </w:r>
      <w:r w:rsidRPr="00547821">
        <w:rPr>
          <w:rFonts w:hint="cs"/>
          <w:rtl/>
        </w:rPr>
        <w:t xml:space="preserve"> דבר זה גורם לבעיות סביבתיות רבות, למשל זיהום אויר גבוה. חוות דעת זו באה לבחון את תוקפה ומעמדה המשפטי של הוראה זו. </w:t>
      </w:r>
    </w:p>
    <w:p w:rsidR="00976A3F" w:rsidRDefault="00FC5613" w:rsidP="00FC5613">
      <w:pPr>
        <w:spacing w:line="340" w:lineRule="exact"/>
        <w:jc w:val="both"/>
        <w:rPr>
          <w:rFonts w:hint="cs"/>
          <w:rtl/>
        </w:rPr>
      </w:pPr>
      <w:r w:rsidRPr="00547821">
        <w:rPr>
          <w:rFonts w:hint="cs"/>
          <w:rtl/>
        </w:rPr>
        <w:t xml:space="preserve">הנחיות החשב הכללי הינן הנחיות מנהליות, ולפיכך עליהן לעמוד בכללי המשפט המנהלי. </w:t>
      </w:r>
    </w:p>
    <w:p w:rsidR="00FC5613" w:rsidRPr="00547821" w:rsidRDefault="00FC5613" w:rsidP="00FC5613">
      <w:pPr>
        <w:spacing w:line="340" w:lineRule="exact"/>
        <w:jc w:val="both"/>
        <w:rPr>
          <w:rFonts w:hint="cs"/>
          <w:rtl/>
        </w:rPr>
      </w:pPr>
      <w:r w:rsidRPr="00547821">
        <w:rPr>
          <w:rFonts w:hint="cs"/>
          <w:rtl/>
        </w:rPr>
        <w:t xml:space="preserve">ניתן להצביע על חוסר עמידה ב-3 עקרונות מנהליים מרכזיים: </w:t>
      </w:r>
    </w:p>
    <w:p w:rsidR="00FC5613" w:rsidRPr="00547821" w:rsidRDefault="00FC5613" w:rsidP="00FC5613">
      <w:pPr>
        <w:spacing w:line="340" w:lineRule="exact"/>
        <w:jc w:val="both"/>
        <w:rPr>
          <w:rFonts w:hint="cs"/>
          <w:rtl/>
        </w:rPr>
      </w:pPr>
      <w:r w:rsidRPr="00547821">
        <w:rPr>
          <w:rFonts w:hint="cs"/>
          <w:rtl/>
        </w:rPr>
        <w:t xml:space="preserve">א. </w:t>
      </w:r>
      <w:r w:rsidRPr="00547821">
        <w:rPr>
          <w:rFonts w:hint="cs"/>
          <w:b/>
          <w:bCs/>
          <w:rtl/>
        </w:rPr>
        <w:t>עקרון חוקיות המנהל</w:t>
      </w:r>
      <w:r w:rsidRPr="00547821">
        <w:rPr>
          <w:rFonts w:hint="cs"/>
          <w:rtl/>
        </w:rPr>
        <w:t xml:space="preserve">, זאת לאחר שעיון וחיפוש נרחב ברשומות, לא מעלה מתן סמכות לחשב הכללי לעסוק בעניין זה מטעם שר האוצר. </w:t>
      </w:r>
    </w:p>
    <w:p w:rsidR="00FC5613" w:rsidRPr="00547821" w:rsidRDefault="00FC5613" w:rsidP="00FC5613">
      <w:pPr>
        <w:spacing w:line="340" w:lineRule="exact"/>
        <w:jc w:val="both"/>
        <w:rPr>
          <w:rFonts w:hint="cs"/>
          <w:rtl/>
        </w:rPr>
      </w:pPr>
      <w:r w:rsidRPr="00547821">
        <w:rPr>
          <w:rFonts w:hint="cs"/>
          <w:rtl/>
        </w:rPr>
        <w:t xml:space="preserve">ב. </w:t>
      </w:r>
      <w:r w:rsidRPr="00547821">
        <w:rPr>
          <w:rFonts w:hint="cs"/>
          <w:b/>
          <w:bCs/>
          <w:rtl/>
        </w:rPr>
        <w:t>סבירות ומידתיות</w:t>
      </w:r>
      <w:r w:rsidRPr="00547821">
        <w:rPr>
          <w:rFonts w:hint="cs"/>
          <w:rtl/>
        </w:rPr>
        <w:t xml:space="preserve">, כיוון שיתכן והשיקול הסביבתי לא נלקח בחשבון בהנתן ההוראות, או שלא ניתן לשיקול </w:t>
      </w:r>
      <w:r>
        <w:rPr>
          <w:rFonts w:hint="cs"/>
          <w:rtl/>
        </w:rPr>
        <w:t xml:space="preserve">זה המשקל הראוי. בנוסף, ניתן </w:t>
      </w:r>
      <w:r w:rsidRPr="00547821">
        <w:rPr>
          <w:rFonts w:hint="cs"/>
          <w:rtl/>
        </w:rPr>
        <w:t xml:space="preserve">למצוא אמצעי שפגיעתו באינטרס הסביבתי פחותה. </w:t>
      </w:r>
    </w:p>
    <w:p w:rsidR="00FC5613" w:rsidRPr="00547821" w:rsidRDefault="00FC5613" w:rsidP="00FC5613">
      <w:pPr>
        <w:spacing w:line="340" w:lineRule="exact"/>
        <w:jc w:val="both"/>
        <w:rPr>
          <w:rtl/>
        </w:rPr>
      </w:pPr>
      <w:r w:rsidRPr="00547821">
        <w:rPr>
          <w:rFonts w:hint="cs"/>
          <w:rtl/>
        </w:rPr>
        <w:t xml:space="preserve">ג. </w:t>
      </w:r>
      <w:r w:rsidRPr="00547821">
        <w:rPr>
          <w:rFonts w:hint="cs"/>
          <w:b/>
          <w:bCs/>
          <w:rtl/>
        </w:rPr>
        <w:t>הזכות לשוויון</w:t>
      </w:r>
      <w:r w:rsidRPr="00547821">
        <w:rPr>
          <w:rFonts w:hint="cs"/>
          <w:rtl/>
        </w:rPr>
        <w:t xml:space="preserve">, אשר נפגעת כתוצאה מדרישות הוכחת הבעלות ברכב והחזקת רשיון נהיגה. דרישה זו מהווה אפליה פסולה של קבוצות כגון נשים ונכים, שבפועל פעמים רבות לא עומדים בתנאים אלו. חוות דעת זו מוכיחה כי החזר הוצאות רכב מהווה טובת הנאה, כמשמעותה בדיני מס הכנסה, וכי מדובר בשכר לכל דבר ועניין. לאור זאת מתעצמת הטענה בדבר האפליה הפסולה של נשים ונכים, שכן ניתן יהיה למצוא מקרים רבים בהם שני אנשים בעלי כישורים זהים, המבצעים עבודה זהה, יקבלו שכר שונה לחלוטין - בדמות אותה טובת הנאה </w:t>
      </w:r>
      <w:r w:rsidRPr="00547821">
        <w:rPr>
          <w:rtl/>
        </w:rPr>
        <w:t>–</w:t>
      </w:r>
      <w:r w:rsidRPr="00547821">
        <w:rPr>
          <w:rFonts w:hint="cs"/>
          <w:rtl/>
        </w:rPr>
        <w:t xml:space="preserve"> וזאת רק בשל היות האחד בעל רכב ור</w:t>
      </w:r>
      <w:r>
        <w:rPr>
          <w:rFonts w:hint="cs"/>
          <w:rtl/>
        </w:rPr>
        <w:t xml:space="preserve">שיון נהיגה, והיות השני משולל </w:t>
      </w:r>
      <w:r w:rsidRPr="00547821">
        <w:rPr>
          <w:rFonts w:hint="cs"/>
          <w:rtl/>
        </w:rPr>
        <w:t xml:space="preserve">זאת. כך, למשל, </w:t>
      </w:r>
      <w:r w:rsidRPr="00547821">
        <w:rPr>
          <w:color w:val="000000"/>
          <w:rtl/>
        </w:rPr>
        <w:t>עובד עיוור אשר אינו יכול לנהוג ברכב, לעולם לא יוכל לקבל שכר זהה לזה של עובד שאינו עיוור, למרות שהשניים מבצעים עבודה זהה לחלוטין,</w:t>
      </w:r>
      <w:r w:rsidRPr="00547821">
        <w:rPr>
          <w:rFonts w:hint="cs"/>
          <w:color w:val="000000"/>
          <w:rtl/>
        </w:rPr>
        <w:t xml:space="preserve"> </w:t>
      </w:r>
      <w:r w:rsidRPr="00547821">
        <w:rPr>
          <w:color w:val="000000"/>
          <w:rtl/>
        </w:rPr>
        <w:t>בשל הדרישה להוכחת רשיון. באופן דומה, סיכוייה של אשה לקבל את חלק השכר המבטא את החזר הוצאות הרכב פחותים משמעותית מסיכ</w:t>
      </w:r>
      <w:r>
        <w:rPr>
          <w:color w:val="000000"/>
          <w:rtl/>
        </w:rPr>
        <w:t>וייו של גבר המבצע עבודה זהה ל</w:t>
      </w:r>
      <w:r w:rsidRPr="00547821">
        <w:rPr>
          <w:color w:val="000000"/>
          <w:rtl/>
        </w:rPr>
        <w:t>שלה, כיוון שנתונים סטטיסטיים מוכיחים כי מספר הגברים המחזיקים רישיון נהיגה תמיד גבוה משמעותית ממספר הנשים, למרות ייצוגם השווה באוכלוסיה.</w:t>
      </w:r>
    </w:p>
    <w:p w:rsidR="00FC5613" w:rsidRPr="00547821" w:rsidRDefault="00FC5613" w:rsidP="00FC5613">
      <w:pPr>
        <w:spacing w:line="340" w:lineRule="exact"/>
        <w:jc w:val="both"/>
        <w:rPr>
          <w:rFonts w:hint="cs"/>
          <w:rtl/>
        </w:rPr>
      </w:pPr>
      <w:r w:rsidRPr="00547821">
        <w:rPr>
          <w:rFonts w:hint="cs"/>
          <w:rtl/>
        </w:rPr>
        <w:t>אפליה בשכר עבודה על בסיס מין או נכות אסורה בישראל מכח זכות יסוד חוקתית ומכח חוקים שונים</w:t>
      </w:r>
      <w:r>
        <w:rPr>
          <w:rFonts w:hint="cs"/>
          <w:rtl/>
        </w:rPr>
        <w:t>, כדוגמת</w:t>
      </w:r>
      <w:r w:rsidRPr="00547821">
        <w:rPr>
          <w:rFonts w:hint="cs"/>
          <w:rtl/>
        </w:rPr>
        <w:t xml:space="preserve">: </w:t>
      </w:r>
      <w:r w:rsidRPr="00547821">
        <w:rPr>
          <w:rFonts w:ascii="Arial" w:hAnsi="Arial"/>
          <w:color w:val="000000"/>
          <w:rtl/>
        </w:rPr>
        <w:t>חוק ש</w:t>
      </w:r>
      <w:r w:rsidRPr="00547821">
        <w:rPr>
          <w:rFonts w:ascii="Arial" w:hAnsi="Arial" w:hint="cs"/>
          <w:color w:val="000000"/>
          <w:rtl/>
        </w:rPr>
        <w:t>כר שווה לעובדת ולעובד, חוק שוויון ההזדמנויות בעבודה, וחוק שוויון זכויות לאנשים עם מוגבלויות.</w:t>
      </w:r>
    </w:p>
    <w:p w:rsidR="00FC5613" w:rsidRPr="00547821" w:rsidRDefault="00FC5613" w:rsidP="00FC5613">
      <w:pPr>
        <w:spacing w:line="340" w:lineRule="exact"/>
        <w:jc w:val="both"/>
        <w:rPr>
          <w:rFonts w:ascii="Arial" w:hAnsi="Arial" w:hint="cs"/>
          <w:color w:val="000000"/>
          <w:rtl/>
        </w:rPr>
      </w:pPr>
      <w:r w:rsidRPr="00547821">
        <w:rPr>
          <w:rFonts w:ascii="Arial" w:hAnsi="Arial" w:hint="cs"/>
          <w:color w:val="000000"/>
          <w:rtl/>
        </w:rPr>
        <w:t>הזכות לשוויון בעבודה מכילה בתוכה גם את השוויון ביחס ובסיכוי וגם את השוויון בתוצאות. ה</w:t>
      </w:r>
      <w:r>
        <w:rPr>
          <w:rFonts w:ascii="Arial" w:hAnsi="Arial" w:hint="cs"/>
          <w:color w:val="000000"/>
          <w:rtl/>
        </w:rPr>
        <w:t>ה</w:t>
      </w:r>
      <w:r w:rsidRPr="00547821">
        <w:rPr>
          <w:rFonts w:ascii="Arial" w:hAnsi="Arial" w:hint="cs"/>
          <w:color w:val="000000"/>
          <w:rtl/>
        </w:rPr>
        <w:t>ורא</w:t>
      </w:r>
      <w:r>
        <w:rPr>
          <w:rFonts w:ascii="Arial" w:hAnsi="Arial" w:hint="cs"/>
          <w:color w:val="000000"/>
          <w:rtl/>
        </w:rPr>
        <w:t>ה</w:t>
      </w:r>
      <w:r w:rsidRPr="00547821">
        <w:rPr>
          <w:rFonts w:ascii="Arial" w:hAnsi="Arial" w:hint="cs"/>
          <w:color w:val="000000"/>
          <w:rtl/>
        </w:rPr>
        <w:t xml:space="preserve"> הדורשת החזקת רשיון נהיגה כתנאי לקבל</w:t>
      </w:r>
      <w:r>
        <w:rPr>
          <w:rFonts w:ascii="Arial" w:hAnsi="Arial" w:hint="cs"/>
          <w:color w:val="000000"/>
          <w:rtl/>
        </w:rPr>
        <w:t>ת</w:t>
      </w:r>
      <w:r w:rsidRPr="00547821">
        <w:rPr>
          <w:rFonts w:ascii="Arial" w:hAnsi="Arial" w:hint="cs"/>
          <w:color w:val="000000"/>
          <w:rtl/>
        </w:rPr>
        <w:t xml:space="preserve"> ההחזרים פוגעת בתוצאת השוויון, שכאמור נתונים סטטיסטיים מצביעים על פערים משמעותיים בין המגזרים השונים. ראוי לציין כי אפליה תהיה פסולה גם בהעדר כוונה מצד הגורם המפלה.</w:t>
      </w:r>
    </w:p>
    <w:p w:rsidR="00FC5613" w:rsidRPr="00EC701F" w:rsidRDefault="00FC5613" w:rsidP="00FC5613">
      <w:pPr>
        <w:spacing w:line="340" w:lineRule="exact"/>
        <w:jc w:val="both"/>
        <w:rPr>
          <w:rFonts w:ascii="Arial" w:hAnsi="Arial" w:hint="cs"/>
          <w:color w:val="000000"/>
          <w:sz w:val="24"/>
          <w:rtl/>
        </w:rPr>
      </w:pPr>
      <w:r w:rsidRPr="00547821">
        <w:rPr>
          <w:rFonts w:ascii="Arial" w:hAnsi="Arial" w:hint="cs"/>
          <w:color w:val="000000"/>
          <w:rtl/>
        </w:rPr>
        <w:t xml:space="preserve">מאחר והשוויון מעוגן כזכות יסוד חוקתית, הרי שהחשב הכללי לא יכול להורות בניגוד לו ואינו יכול להפלות בין עובדיו. כמו כן, לביהמ"ש היכולת לבקר הוראות מסוג זה, ואף להביא </w:t>
      </w:r>
      <w:r w:rsidRPr="00EC701F">
        <w:rPr>
          <w:rFonts w:ascii="Arial" w:hAnsi="Arial" w:hint="cs"/>
          <w:color w:val="000000"/>
          <w:sz w:val="24"/>
          <w:rtl/>
        </w:rPr>
        <w:t>לבטלותן.</w:t>
      </w:r>
    </w:p>
    <w:p w:rsidR="00FC5613" w:rsidRPr="00EC701F" w:rsidRDefault="00FC5613" w:rsidP="00FC5613">
      <w:pPr>
        <w:pStyle w:val="a3"/>
        <w:spacing w:line="340" w:lineRule="exact"/>
        <w:jc w:val="both"/>
        <w:rPr>
          <w:rFonts w:ascii="Times New Roman" w:hAnsi="Times New Roman" w:cs="David" w:hint="cs"/>
          <w:sz w:val="24"/>
          <w:szCs w:val="24"/>
        </w:rPr>
      </w:pPr>
      <w:r w:rsidRPr="00EC701F">
        <w:rPr>
          <w:rFonts w:cs="David" w:hint="cs"/>
          <w:sz w:val="24"/>
          <w:szCs w:val="24"/>
          <w:rtl/>
        </w:rPr>
        <w:t xml:space="preserve">כאמור, החשב הכללי הינו גוף מנהלי, וככזה הוא בעל סמכות חוקית לשנות או לבטל הנחיות שקבע. לפיכך, דרך הפעולה המומלצת להתמודדות עם הוראה זו היא פניה לחשב הכללי או לשר האוצר בבקשה לשנות הוראה זו. במידה </w:t>
      </w:r>
      <w:r w:rsidRPr="00EC701F">
        <w:rPr>
          <w:rFonts w:cs="David"/>
          <w:sz w:val="24"/>
          <w:szCs w:val="24"/>
          <w:rtl/>
        </w:rPr>
        <w:t xml:space="preserve">והפניה </w:t>
      </w:r>
      <w:r w:rsidRPr="00EC701F">
        <w:rPr>
          <w:rFonts w:cs="David" w:hint="eastAsia"/>
          <w:sz w:val="24"/>
          <w:szCs w:val="24"/>
          <w:rtl/>
        </w:rPr>
        <w:t>תענה</w:t>
      </w:r>
      <w:r w:rsidRPr="00EC701F">
        <w:rPr>
          <w:rFonts w:cs="David"/>
          <w:sz w:val="24"/>
          <w:szCs w:val="24"/>
          <w:rtl/>
        </w:rPr>
        <w:t xml:space="preserve"> בשלילה</w:t>
      </w:r>
      <w:r w:rsidRPr="00EC701F">
        <w:rPr>
          <w:rFonts w:cs="David" w:hint="cs"/>
          <w:sz w:val="24"/>
          <w:szCs w:val="24"/>
          <w:rtl/>
        </w:rPr>
        <w:t>,</w:t>
      </w:r>
      <w:r w:rsidRPr="00EC701F">
        <w:rPr>
          <w:rFonts w:cs="David"/>
          <w:sz w:val="24"/>
          <w:szCs w:val="24"/>
          <w:rtl/>
        </w:rPr>
        <w:t xml:space="preserve"> יש לנסות ולפנות לגורמים נוספים </w:t>
      </w:r>
      <w:r w:rsidRPr="00EC701F">
        <w:rPr>
          <w:rFonts w:cs="David" w:hint="cs"/>
          <w:sz w:val="24"/>
          <w:szCs w:val="24"/>
          <w:rtl/>
        </w:rPr>
        <w:t>בעלי</w:t>
      </w:r>
      <w:r w:rsidRPr="00EC701F">
        <w:rPr>
          <w:rFonts w:cs="David"/>
          <w:sz w:val="24"/>
          <w:szCs w:val="24"/>
          <w:rtl/>
        </w:rPr>
        <w:t xml:space="preserve"> נגיעה לעניין</w:t>
      </w:r>
      <w:r w:rsidRPr="00EC701F">
        <w:rPr>
          <w:rFonts w:cs="David" w:hint="cs"/>
          <w:sz w:val="24"/>
          <w:szCs w:val="24"/>
          <w:rtl/>
        </w:rPr>
        <w:t>, כגון</w:t>
      </w:r>
      <w:r w:rsidRPr="00EC701F">
        <w:rPr>
          <w:rFonts w:cs="David"/>
          <w:sz w:val="24"/>
          <w:szCs w:val="24"/>
          <w:rtl/>
        </w:rPr>
        <w:t xml:space="preserve"> השר </w:t>
      </w:r>
      <w:r w:rsidRPr="00EC701F">
        <w:rPr>
          <w:rFonts w:cs="David" w:hint="eastAsia"/>
          <w:sz w:val="24"/>
          <w:szCs w:val="24"/>
          <w:rtl/>
        </w:rPr>
        <w:t>לאיכות</w:t>
      </w:r>
      <w:r w:rsidRPr="00EC701F">
        <w:rPr>
          <w:rFonts w:cs="David"/>
          <w:sz w:val="24"/>
          <w:szCs w:val="24"/>
          <w:rtl/>
        </w:rPr>
        <w:t xml:space="preserve"> הסביבה </w:t>
      </w:r>
      <w:r w:rsidRPr="00EC701F">
        <w:rPr>
          <w:rFonts w:cs="David" w:hint="cs"/>
          <w:sz w:val="24"/>
          <w:szCs w:val="24"/>
          <w:rtl/>
        </w:rPr>
        <w:t>ושר התחבורה</w:t>
      </w:r>
      <w:r w:rsidRPr="00EC701F">
        <w:rPr>
          <w:rFonts w:cs="David"/>
          <w:sz w:val="24"/>
          <w:szCs w:val="24"/>
          <w:rtl/>
        </w:rPr>
        <w:t>.</w:t>
      </w:r>
    </w:p>
    <w:p w:rsidR="00FC5613" w:rsidRDefault="00FC5613" w:rsidP="00FC5613">
      <w:pPr>
        <w:spacing w:line="340" w:lineRule="exact"/>
        <w:rPr>
          <w:rFonts w:hint="cs"/>
        </w:rPr>
      </w:pPr>
    </w:p>
    <w:p w:rsidR="0027640A" w:rsidRPr="0015241B" w:rsidRDefault="006E2F11" w:rsidP="00FC5613">
      <w:pPr>
        <w:pStyle w:val="1"/>
        <w:jc w:val="left"/>
        <w:rPr>
          <w:rFonts w:hint="cs"/>
          <w:rtl/>
        </w:rPr>
      </w:pPr>
      <w:r>
        <w:rPr>
          <w:rtl/>
        </w:rPr>
        <w:br w:type="page"/>
      </w:r>
      <w:bookmarkStart w:id="1" w:name="_Toc144716254"/>
      <w:r w:rsidR="0027640A" w:rsidRPr="0015241B">
        <w:rPr>
          <w:rFonts w:hint="cs"/>
          <w:rtl/>
        </w:rPr>
        <w:lastRenderedPageBreak/>
        <w:t>הקדמה</w:t>
      </w:r>
      <w:bookmarkEnd w:id="1"/>
    </w:p>
    <w:p w:rsidR="0027640A" w:rsidRDefault="0027640A" w:rsidP="0027640A">
      <w:pPr>
        <w:spacing w:line="480" w:lineRule="auto"/>
        <w:jc w:val="both"/>
        <w:rPr>
          <w:rFonts w:hint="cs"/>
          <w:rtl/>
        </w:rPr>
      </w:pPr>
      <w:r>
        <w:rPr>
          <w:rFonts w:hint="eastAsia"/>
          <w:rtl/>
        </w:rPr>
        <w:t>חוות</w:t>
      </w:r>
      <w:r>
        <w:rPr>
          <w:rtl/>
        </w:rPr>
        <w:t xml:space="preserve"> דעת </w:t>
      </w:r>
      <w:r>
        <w:rPr>
          <w:rFonts w:hint="eastAsia"/>
          <w:rtl/>
        </w:rPr>
        <w:t>זו</w:t>
      </w:r>
      <w:r>
        <w:rPr>
          <w:rtl/>
        </w:rPr>
        <w:t xml:space="preserve"> </w:t>
      </w:r>
      <w:r>
        <w:rPr>
          <w:rFonts w:hint="cs"/>
          <w:rtl/>
        </w:rPr>
        <w:t>בוחנת את ההיבט המשפטי של ה</w:t>
      </w:r>
      <w:r>
        <w:rPr>
          <w:rtl/>
        </w:rPr>
        <w:t>וראה בחוזר החשב הכללי</w:t>
      </w:r>
      <w:r w:rsidR="009D08CC">
        <w:rPr>
          <w:rFonts w:hint="cs"/>
          <w:rtl/>
        </w:rPr>
        <w:t xml:space="preserve"> (נספח א)</w:t>
      </w:r>
      <w:r>
        <w:rPr>
          <w:rtl/>
        </w:rPr>
        <w:t xml:space="preserve"> שעניינה החזר הוצאות רכב לעובדים</w:t>
      </w:r>
      <w:r w:rsidR="009D08CC">
        <w:rPr>
          <w:rFonts w:hint="cs"/>
          <w:rtl/>
        </w:rPr>
        <w:t xml:space="preserve"> המבצעים נסיעות בתפקיד</w:t>
      </w:r>
      <w:r>
        <w:rPr>
          <w:rFonts w:hint="cs"/>
          <w:rtl/>
        </w:rPr>
        <w:t xml:space="preserve"> (להלן </w:t>
      </w:r>
      <w:r>
        <w:rPr>
          <w:rtl/>
        </w:rPr>
        <w:t>–</w:t>
      </w:r>
      <w:r>
        <w:rPr>
          <w:rFonts w:hint="cs"/>
          <w:rtl/>
        </w:rPr>
        <w:t xml:space="preserve"> ההוראה):</w:t>
      </w:r>
    </w:p>
    <w:p w:rsidR="0027640A" w:rsidRPr="00FF6F5F" w:rsidRDefault="0027640A" w:rsidP="0027640A">
      <w:pPr>
        <w:pStyle w:val="a3"/>
        <w:spacing w:line="480" w:lineRule="auto"/>
        <w:jc w:val="both"/>
        <w:rPr>
          <w:rFonts w:hint="cs"/>
          <w:sz w:val="24"/>
          <w:szCs w:val="24"/>
          <w:rtl/>
        </w:rPr>
      </w:pPr>
      <w:r w:rsidRPr="00FF6F5F">
        <w:rPr>
          <w:rFonts w:hint="cs"/>
          <w:sz w:val="24"/>
          <w:szCs w:val="24"/>
          <w:rtl/>
        </w:rPr>
        <w:t xml:space="preserve">                    </w:t>
      </w:r>
      <w:r w:rsidRPr="00FF6F5F">
        <w:rPr>
          <w:sz w:val="24"/>
          <w:szCs w:val="24"/>
        </w:rPr>
        <w:t>3</w:t>
      </w:r>
      <w:r w:rsidRPr="00FF6F5F">
        <w:rPr>
          <w:rFonts w:hint="cs"/>
          <w:sz w:val="24"/>
          <w:szCs w:val="24"/>
          <w:rtl/>
        </w:rPr>
        <w:t>. הזכאות</w:t>
      </w:r>
      <w:r w:rsidRPr="00FF6F5F">
        <w:rPr>
          <w:sz w:val="24"/>
          <w:szCs w:val="24"/>
          <w:rtl/>
        </w:rPr>
        <w:t xml:space="preserve"> להחזר הוצאות לבעלי רכב שירות ואישי                             </w:t>
      </w:r>
    </w:p>
    <w:p w:rsidR="0027640A" w:rsidRPr="00FF6F5F" w:rsidRDefault="0027640A" w:rsidP="00FF6F5F">
      <w:pPr>
        <w:spacing w:line="480" w:lineRule="auto"/>
        <w:ind w:left="1440"/>
        <w:jc w:val="both"/>
        <w:rPr>
          <w:rFonts w:hint="cs"/>
          <w:rtl/>
        </w:rPr>
      </w:pPr>
      <w:r w:rsidRPr="00FF6F5F">
        <w:rPr>
          <w:sz w:val="24"/>
          <w:rtl/>
        </w:rPr>
        <w:t xml:space="preserve"> 3.1  </w:t>
      </w:r>
      <w:r w:rsidRPr="00FF6F5F">
        <w:rPr>
          <w:rFonts w:hint="eastAsia"/>
          <w:sz w:val="24"/>
          <w:rtl/>
        </w:rPr>
        <w:t>תשלום</w:t>
      </w:r>
      <w:r w:rsidRPr="00FF6F5F">
        <w:rPr>
          <w:sz w:val="24"/>
          <w:rtl/>
        </w:rPr>
        <w:t xml:space="preserve"> החזר הוצאות רכב </w:t>
      </w:r>
      <w:r w:rsidRPr="00FF6F5F">
        <w:rPr>
          <w:rFonts w:hint="eastAsia"/>
          <w:sz w:val="24"/>
          <w:rtl/>
        </w:rPr>
        <w:t>לבעלי</w:t>
      </w:r>
      <w:r w:rsidRPr="00FF6F5F">
        <w:rPr>
          <w:sz w:val="24"/>
          <w:rtl/>
        </w:rPr>
        <w:t xml:space="preserve"> רכב שירות ואישי מותנה בכך שלעובד רכב  </w:t>
      </w:r>
      <w:r w:rsidRPr="00FF6F5F">
        <w:rPr>
          <w:rFonts w:hint="eastAsia"/>
          <w:sz w:val="24"/>
          <w:rtl/>
        </w:rPr>
        <w:t>כשיר</w:t>
      </w:r>
      <w:r w:rsidRPr="00FF6F5F">
        <w:rPr>
          <w:sz w:val="24"/>
          <w:rtl/>
        </w:rPr>
        <w:t xml:space="preserve"> ומורשה, בבעלותו המלאה (או בבעלות בן זוגו)  </w:t>
      </w:r>
      <w:r w:rsidRPr="00FF6F5F">
        <w:rPr>
          <w:rFonts w:hint="eastAsia"/>
          <w:sz w:val="24"/>
          <w:rtl/>
        </w:rPr>
        <w:t>במשך</w:t>
      </w:r>
      <w:r w:rsidRPr="00FF6F5F">
        <w:rPr>
          <w:sz w:val="24"/>
          <w:rtl/>
        </w:rPr>
        <w:t xml:space="preserve">  </w:t>
      </w:r>
      <w:r w:rsidRPr="00FF6F5F">
        <w:rPr>
          <w:rFonts w:hint="eastAsia"/>
          <w:sz w:val="24"/>
          <w:rtl/>
        </w:rPr>
        <w:t>כל</w:t>
      </w:r>
      <w:r w:rsidRPr="00FF6F5F">
        <w:rPr>
          <w:sz w:val="24"/>
          <w:rtl/>
        </w:rPr>
        <w:t xml:space="preserve">  </w:t>
      </w:r>
      <w:r w:rsidRPr="00FF6F5F">
        <w:rPr>
          <w:rFonts w:hint="eastAsia"/>
          <w:sz w:val="24"/>
          <w:rtl/>
        </w:rPr>
        <w:t>השנה</w:t>
      </w:r>
      <w:r w:rsidRPr="00FF6F5F">
        <w:rPr>
          <w:sz w:val="24"/>
          <w:rtl/>
        </w:rPr>
        <w:t xml:space="preserve">,  </w:t>
      </w:r>
      <w:r w:rsidRPr="00FF6F5F">
        <w:rPr>
          <w:rFonts w:hint="eastAsia"/>
          <w:sz w:val="24"/>
          <w:rtl/>
        </w:rPr>
        <w:t>ושהוא</w:t>
      </w:r>
      <w:r w:rsidRPr="00FF6F5F">
        <w:rPr>
          <w:sz w:val="24"/>
          <w:rtl/>
        </w:rPr>
        <w:t xml:space="preserve">  </w:t>
      </w:r>
      <w:r w:rsidRPr="00FF6F5F">
        <w:rPr>
          <w:rFonts w:hint="eastAsia"/>
          <w:sz w:val="24"/>
          <w:rtl/>
        </w:rPr>
        <w:t>בעל</w:t>
      </w:r>
      <w:r w:rsidRPr="00FF6F5F">
        <w:rPr>
          <w:sz w:val="24"/>
        </w:rPr>
        <w:t xml:space="preserve"> </w:t>
      </w:r>
      <w:r w:rsidRPr="00FF6F5F">
        <w:rPr>
          <w:rFonts w:hint="eastAsia"/>
          <w:sz w:val="24"/>
          <w:rtl/>
        </w:rPr>
        <w:t>רשיון</w:t>
      </w:r>
      <w:r w:rsidRPr="00FF6F5F">
        <w:rPr>
          <w:sz w:val="24"/>
          <w:rtl/>
        </w:rPr>
        <w:t xml:space="preserve"> נהיגה בר תוקף </w:t>
      </w:r>
      <w:r w:rsidRPr="00FF6F5F">
        <w:rPr>
          <w:rFonts w:hint="eastAsia"/>
          <w:sz w:val="24"/>
          <w:rtl/>
        </w:rPr>
        <w:t>ברכב</w:t>
      </w:r>
      <w:r w:rsidRPr="00FF6F5F">
        <w:rPr>
          <w:sz w:val="24"/>
          <w:rtl/>
        </w:rPr>
        <w:t xml:space="preserve"> זה,(סעיף  3.2  </w:t>
      </w:r>
      <w:r w:rsidRPr="00FF6F5F">
        <w:rPr>
          <w:rFonts w:hint="eastAsia"/>
          <w:sz w:val="24"/>
          <w:rtl/>
        </w:rPr>
        <w:t>בחוזר</w:t>
      </w:r>
      <w:r w:rsidRPr="00FF6F5F">
        <w:rPr>
          <w:sz w:val="24"/>
          <w:rtl/>
        </w:rPr>
        <w:t xml:space="preserve">  </w:t>
      </w:r>
      <w:r w:rsidRPr="00FF6F5F">
        <w:rPr>
          <w:rFonts w:hint="eastAsia"/>
          <w:sz w:val="24"/>
          <w:rtl/>
        </w:rPr>
        <w:t>חשכ</w:t>
      </w:r>
      <w:r w:rsidRPr="00FF6F5F">
        <w:rPr>
          <w:sz w:val="24"/>
          <w:rtl/>
        </w:rPr>
        <w:t>"</w:t>
      </w:r>
      <w:r w:rsidRPr="00FF6F5F">
        <w:rPr>
          <w:rFonts w:hint="eastAsia"/>
          <w:sz w:val="24"/>
          <w:rtl/>
        </w:rPr>
        <w:t>ל</w:t>
      </w:r>
      <w:r w:rsidRPr="00FF6F5F">
        <w:rPr>
          <w:sz w:val="24"/>
          <w:rtl/>
        </w:rPr>
        <w:t xml:space="preserve">  </w:t>
      </w:r>
      <w:r w:rsidRPr="00FF6F5F">
        <w:rPr>
          <w:rFonts w:hint="eastAsia"/>
          <w:sz w:val="24"/>
          <w:rtl/>
        </w:rPr>
        <w:t>תש</w:t>
      </w:r>
      <w:r w:rsidRPr="00FF6F5F">
        <w:rPr>
          <w:sz w:val="24"/>
          <w:rtl/>
        </w:rPr>
        <w:t>"</w:t>
      </w:r>
      <w:r w:rsidRPr="00FF6F5F">
        <w:rPr>
          <w:rFonts w:hint="eastAsia"/>
          <w:sz w:val="24"/>
          <w:rtl/>
        </w:rPr>
        <w:t>ם</w:t>
      </w:r>
      <w:r w:rsidRPr="00FF6F5F">
        <w:rPr>
          <w:sz w:val="24"/>
          <w:rtl/>
        </w:rPr>
        <w:t xml:space="preserve">/63  </w:t>
      </w:r>
      <w:r w:rsidRPr="00FF6F5F">
        <w:rPr>
          <w:rFonts w:hint="eastAsia"/>
          <w:sz w:val="24"/>
          <w:rtl/>
        </w:rPr>
        <w:t>מה</w:t>
      </w:r>
      <w:r w:rsidRPr="00FF6F5F">
        <w:rPr>
          <w:sz w:val="24"/>
          <w:rtl/>
        </w:rPr>
        <w:t xml:space="preserve">-15 באפריל 1980). להסרת כל ספק מובהר בזה, </w:t>
      </w:r>
      <w:r w:rsidRPr="00FF6F5F">
        <w:rPr>
          <w:rFonts w:hint="eastAsia"/>
          <w:sz w:val="24"/>
          <w:rtl/>
        </w:rPr>
        <w:t>כי</w:t>
      </w:r>
      <w:r w:rsidRPr="00FF6F5F">
        <w:rPr>
          <w:sz w:val="24"/>
          <w:rtl/>
        </w:rPr>
        <w:t xml:space="preserve">  </w:t>
      </w:r>
      <w:r w:rsidRPr="00FF6F5F">
        <w:rPr>
          <w:rFonts w:hint="eastAsia"/>
          <w:sz w:val="24"/>
          <w:rtl/>
        </w:rPr>
        <w:t>לעניין</w:t>
      </w:r>
      <w:r w:rsidRPr="00FF6F5F">
        <w:rPr>
          <w:sz w:val="24"/>
          <w:rtl/>
        </w:rPr>
        <w:t xml:space="preserve">  </w:t>
      </w:r>
      <w:r w:rsidRPr="00FF6F5F">
        <w:rPr>
          <w:rFonts w:hint="eastAsia"/>
          <w:sz w:val="24"/>
          <w:rtl/>
        </w:rPr>
        <w:t>החזר</w:t>
      </w:r>
      <w:r w:rsidRPr="00FF6F5F">
        <w:rPr>
          <w:sz w:val="24"/>
          <w:rtl/>
        </w:rPr>
        <w:t xml:space="preserve">  </w:t>
      </w:r>
      <w:r w:rsidRPr="00FF6F5F">
        <w:rPr>
          <w:rFonts w:hint="eastAsia"/>
          <w:sz w:val="24"/>
          <w:rtl/>
        </w:rPr>
        <w:t>הוצאות</w:t>
      </w:r>
      <w:r w:rsidRPr="00FF6F5F">
        <w:rPr>
          <w:sz w:val="24"/>
          <w:rtl/>
        </w:rPr>
        <w:t xml:space="preserve">  </w:t>
      </w:r>
      <w:r w:rsidRPr="00FF6F5F">
        <w:rPr>
          <w:rFonts w:hint="eastAsia"/>
          <w:sz w:val="24"/>
          <w:rtl/>
        </w:rPr>
        <w:t>רכב</w:t>
      </w:r>
      <w:r w:rsidRPr="00FF6F5F">
        <w:rPr>
          <w:sz w:val="24"/>
          <w:rtl/>
        </w:rPr>
        <w:t xml:space="preserve">  - "</w:t>
      </w:r>
      <w:r w:rsidRPr="00FF6F5F">
        <w:rPr>
          <w:rFonts w:hint="eastAsia"/>
          <w:sz w:val="24"/>
          <w:rtl/>
        </w:rPr>
        <w:t>בבעלותו</w:t>
      </w:r>
      <w:r w:rsidRPr="00FF6F5F">
        <w:rPr>
          <w:sz w:val="24"/>
          <w:rtl/>
        </w:rPr>
        <w:t xml:space="preserve"> המלאה (או בבעלות בן זוגו)" - הכוונה היא: שבמשרד  </w:t>
      </w:r>
      <w:r w:rsidRPr="00FF6F5F">
        <w:rPr>
          <w:rFonts w:hint="eastAsia"/>
          <w:sz w:val="24"/>
          <w:rtl/>
        </w:rPr>
        <w:t>הרישוי</w:t>
      </w:r>
      <w:r w:rsidRPr="00FF6F5F">
        <w:rPr>
          <w:sz w:val="24"/>
          <w:rtl/>
        </w:rPr>
        <w:t xml:space="preserve">  </w:t>
      </w:r>
      <w:r w:rsidRPr="00FF6F5F">
        <w:rPr>
          <w:rFonts w:hint="eastAsia"/>
          <w:sz w:val="24"/>
          <w:rtl/>
        </w:rPr>
        <w:t>הרכב</w:t>
      </w:r>
      <w:r w:rsidRPr="00FF6F5F">
        <w:rPr>
          <w:sz w:val="24"/>
          <w:rtl/>
        </w:rPr>
        <w:t xml:space="preserve"> רשום על שם העובד (או על שם בן זוגו).</w:t>
      </w:r>
      <w:r w:rsidRPr="00FF6F5F">
        <w:rPr>
          <w:rtl/>
        </w:rPr>
        <w:t xml:space="preserve">                                  </w:t>
      </w:r>
    </w:p>
    <w:p w:rsidR="0027640A" w:rsidRDefault="0027640A" w:rsidP="0027640A">
      <w:pPr>
        <w:spacing w:line="480" w:lineRule="auto"/>
        <w:jc w:val="both"/>
        <w:rPr>
          <w:rFonts w:hint="cs"/>
          <w:rtl/>
        </w:rPr>
      </w:pPr>
    </w:p>
    <w:p w:rsidR="00FD04AF" w:rsidRDefault="0027640A" w:rsidP="00FD04AF">
      <w:pPr>
        <w:spacing w:line="480" w:lineRule="auto"/>
        <w:jc w:val="both"/>
        <w:rPr>
          <w:rFonts w:hint="cs"/>
          <w:rtl/>
        </w:rPr>
      </w:pPr>
      <w:r>
        <w:rPr>
          <w:rFonts w:hint="eastAsia"/>
          <w:rtl/>
        </w:rPr>
        <w:t>ההוראה</w:t>
      </w:r>
      <w:r>
        <w:rPr>
          <w:rFonts w:hint="cs"/>
          <w:rtl/>
        </w:rPr>
        <w:t>,</w:t>
      </w:r>
      <w:r>
        <w:rPr>
          <w:rtl/>
        </w:rPr>
        <w:t xml:space="preserve"> </w:t>
      </w:r>
      <w:r>
        <w:rPr>
          <w:rFonts w:hint="cs"/>
          <w:rtl/>
        </w:rPr>
        <w:t>ש</w:t>
      </w:r>
      <w:r>
        <w:rPr>
          <w:rFonts w:hint="eastAsia"/>
          <w:rtl/>
        </w:rPr>
        <w:t>חוזרת</w:t>
      </w:r>
      <w:r>
        <w:rPr>
          <w:rtl/>
        </w:rPr>
        <w:t xml:space="preserve"> לאורך השנים</w:t>
      </w:r>
      <w:r>
        <w:rPr>
          <w:rStyle w:val="a4"/>
          <w:rtl/>
        </w:rPr>
        <w:footnoteReference w:id="1"/>
      </w:r>
      <w:r>
        <w:rPr>
          <w:rtl/>
        </w:rPr>
        <w:t xml:space="preserve"> בכל חוזרי החשכ"</w:t>
      </w:r>
      <w:r>
        <w:rPr>
          <w:rFonts w:hint="eastAsia"/>
          <w:rtl/>
        </w:rPr>
        <w:t>ל</w:t>
      </w:r>
      <w:r>
        <w:rPr>
          <w:rtl/>
        </w:rPr>
        <w:t xml:space="preserve"> המטפלים בהחזרי נסיעות</w:t>
      </w:r>
      <w:r>
        <w:rPr>
          <w:rFonts w:hint="cs"/>
          <w:rtl/>
        </w:rPr>
        <w:t xml:space="preserve">, </w:t>
      </w:r>
      <w:r>
        <w:rPr>
          <w:rtl/>
        </w:rPr>
        <w:t xml:space="preserve">קובעת </w:t>
      </w:r>
      <w:r>
        <w:rPr>
          <w:rFonts w:hint="eastAsia"/>
          <w:rtl/>
        </w:rPr>
        <w:t>כתנאי</w:t>
      </w:r>
      <w:r>
        <w:rPr>
          <w:rtl/>
        </w:rPr>
        <w:t xml:space="preserve"> להחזר הוצאות רכב</w:t>
      </w:r>
      <w:r>
        <w:rPr>
          <w:rFonts w:hint="cs"/>
          <w:rtl/>
        </w:rPr>
        <w:t>:</w:t>
      </w:r>
      <w:r>
        <w:rPr>
          <w:rtl/>
        </w:rPr>
        <w:t xml:space="preserve"> הוכחת בעלו</w:t>
      </w:r>
      <w:r w:rsidR="00914B5C">
        <w:rPr>
          <w:rtl/>
        </w:rPr>
        <w:t>ת של העובד או של בן זוגו על רכב</w:t>
      </w:r>
      <w:r w:rsidR="00914B5C">
        <w:rPr>
          <w:rFonts w:hint="cs"/>
          <w:rtl/>
        </w:rPr>
        <w:t xml:space="preserve"> והחזקת רשיון נהיגה בר תוקף. </w:t>
      </w:r>
      <w:r>
        <w:rPr>
          <w:rFonts w:hint="eastAsia"/>
          <w:rtl/>
        </w:rPr>
        <w:t>בהעדר</w:t>
      </w:r>
      <w:r>
        <w:rPr>
          <w:rtl/>
        </w:rPr>
        <w:t xml:space="preserve"> הוכחה </w:t>
      </w:r>
      <w:r>
        <w:rPr>
          <w:rFonts w:hint="eastAsia"/>
          <w:rtl/>
        </w:rPr>
        <w:t>כאמור</w:t>
      </w:r>
      <w:r>
        <w:rPr>
          <w:rtl/>
        </w:rPr>
        <w:t>, העובד יזכה להחזר קצובת נסיעה ששיעוריה נמוכים בצ</w:t>
      </w:r>
      <w:r>
        <w:rPr>
          <w:rFonts w:hint="eastAsia"/>
          <w:rtl/>
        </w:rPr>
        <w:t>ורה</w:t>
      </w:r>
      <w:r>
        <w:rPr>
          <w:rtl/>
        </w:rPr>
        <w:t xml:space="preserve"> משמעותית משיעורי החזר </w:t>
      </w:r>
      <w:r>
        <w:rPr>
          <w:rFonts w:hint="eastAsia"/>
          <w:rtl/>
        </w:rPr>
        <w:t>הוצאות</w:t>
      </w:r>
      <w:r>
        <w:rPr>
          <w:rtl/>
        </w:rPr>
        <w:t xml:space="preserve"> רכב.</w:t>
      </w:r>
    </w:p>
    <w:p w:rsidR="0027640A" w:rsidRDefault="0027640A" w:rsidP="0027640A">
      <w:pPr>
        <w:pStyle w:val="a3"/>
        <w:spacing w:line="480" w:lineRule="auto"/>
        <w:jc w:val="both"/>
        <w:rPr>
          <w:rFonts w:hint="cs"/>
          <w:rtl/>
        </w:rPr>
      </w:pPr>
    </w:p>
    <w:p w:rsidR="008A1B86" w:rsidRDefault="0027640A" w:rsidP="00FD04AF">
      <w:pPr>
        <w:spacing w:line="480" w:lineRule="auto"/>
        <w:jc w:val="both"/>
        <w:rPr>
          <w:rFonts w:hint="cs"/>
          <w:rtl/>
        </w:rPr>
      </w:pPr>
      <w:r>
        <w:rPr>
          <w:rFonts w:hint="cs"/>
          <w:rtl/>
        </w:rPr>
        <w:t xml:space="preserve">ההנחה שעומדת בבסיס חוות הדעת, היא </w:t>
      </w:r>
      <w:r>
        <w:rPr>
          <w:rtl/>
        </w:rPr>
        <w:t xml:space="preserve">כי </w:t>
      </w:r>
      <w:r>
        <w:rPr>
          <w:rFonts w:hint="eastAsia"/>
          <w:rtl/>
        </w:rPr>
        <w:t>הוראה</w:t>
      </w:r>
      <w:r>
        <w:rPr>
          <w:rtl/>
        </w:rPr>
        <w:t xml:space="preserve"> זו מפלה לטובה את בעלי הרכב, ובפועל מתמרצת עובדים לרכוש מכוניות ולהשתמש בהן.</w:t>
      </w:r>
      <w:r w:rsidR="00FD04AF">
        <w:rPr>
          <w:rFonts w:hint="cs"/>
          <w:rtl/>
        </w:rPr>
        <w:t xml:space="preserve"> כתוצאה </w:t>
      </w:r>
      <w:r w:rsidR="004765A6">
        <w:rPr>
          <w:rFonts w:hint="cs"/>
          <w:rtl/>
        </w:rPr>
        <w:t>מההטבה הכלכלית הניתנת לבעלי הרכב,</w:t>
      </w:r>
      <w:r>
        <w:rPr>
          <w:rtl/>
        </w:rPr>
        <w:t xml:space="preserve"> </w:t>
      </w:r>
      <w:r w:rsidR="00FD04AF">
        <w:rPr>
          <w:rFonts w:hint="cs"/>
          <w:rtl/>
        </w:rPr>
        <w:t>ניתן לראות</w:t>
      </w:r>
      <w:r w:rsidR="004765A6">
        <w:rPr>
          <w:rFonts w:hint="cs"/>
          <w:rtl/>
        </w:rPr>
        <w:t xml:space="preserve"> שימוש הולך וגובר ברכבים</w:t>
      </w:r>
      <w:r w:rsidR="00FD04AF">
        <w:rPr>
          <w:rFonts w:hint="cs"/>
          <w:rtl/>
        </w:rPr>
        <w:t>, דבר הגורם לבעיות סביבתיות רבות</w:t>
      </w:r>
      <w:r w:rsidR="004765A6">
        <w:rPr>
          <w:rFonts w:hint="cs"/>
          <w:rtl/>
        </w:rPr>
        <w:t>,</w:t>
      </w:r>
      <w:r w:rsidR="00FD04AF">
        <w:rPr>
          <w:rFonts w:hint="cs"/>
          <w:rtl/>
        </w:rPr>
        <w:t xml:space="preserve"> כגון</w:t>
      </w:r>
      <w:r w:rsidR="004765A6">
        <w:rPr>
          <w:rFonts w:hint="cs"/>
          <w:rtl/>
        </w:rPr>
        <w:t>:</w:t>
      </w:r>
      <w:r w:rsidR="00FD04AF">
        <w:rPr>
          <w:rFonts w:hint="cs"/>
          <w:rtl/>
        </w:rPr>
        <w:t xml:space="preserve"> זיהום אויר</w:t>
      </w:r>
      <w:r w:rsidR="004765A6">
        <w:rPr>
          <w:rFonts w:hint="cs"/>
          <w:rtl/>
        </w:rPr>
        <w:t xml:space="preserve"> גבוה, עומס בכבישים וכתוצאה מכך סלילת כבישים חדשים, וכו'.</w:t>
      </w:r>
      <w:r w:rsidR="005B2FFE">
        <w:rPr>
          <w:rFonts w:hint="cs"/>
          <w:rtl/>
        </w:rPr>
        <w:t xml:space="preserve"> </w:t>
      </w:r>
    </w:p>
    <w:p w:rsidR="00FD04AF" w:rsidRDefault="005B2FFE" w:rsidP="008A1B86">
      <w:pPr>
        <w:spacing w:line="480" w:lineRule="auto"/>
        <w:jc w:val="both"/>
        <w:rPr>
          <w:rFonts w:hint="cs"/>
          <w:rtl/>
        </w:rPr>
      </w:pPr>
      <w:r w:rsidRPr="006E2F11">
        <w:rPr>
          <w:rFonts w:hint="cs"/>
          <w:rtl/>
        </w:rPr>
        <w:t>חוות דעת זו נכתבה לאור הבעיות הסב</w:t>
      </w:r>
      <w:r w:rsidR="00695BFD" w:rsidRPr="006E2F11">
        <w:rPr>
          <w:rFonts w:hint="cs"/>
          <w:rtl/>
        </w:rPr>
        <w:t xml:space="preserve">יבתיות הנגרמות מהוראה זו, </w:t>
      </w:r>
      <w:r w:rsidR="008A1B86" w:rsidRPr="006E2F11">
        <w:rPr>
          <w:rFonts w:hint="cs"/>
          <w:rtl/>
        </w:rPr>
        <w:t>עבור</w:t>
      </w:r>
      <w:r w:rsidR="00695BFD" w:rsidRPr="006E2F11">
        <w:rPr>
          <w:rFonts w:hint="cs"/>
          <w:rtl/>
        </w:rPr>
        <w:t xml:space="preserve"> הארגון "תחבורה היום ומחר", שמטרתו לקדם תחבורה ידידותית לסביבה.</w:t>
      </w:r>
      <w:r w:rsidR="008A1B86" w:rsidRPr="006E2F11">
        <w:rPr>
          <w:rFonts w:hint="cs"/>
          <w:rtl/>
        </w:rPr>
        <w:t xml:space="preserve"> אנו מודים</w:t>
      </w:r>
      <w:r w:rsidR="00E12823">
        <w:rPr>
          <w:rFonts w:hint="cs"/>
          <w:rtl/>
        </w:rPr>
        <w:t xml:space="preserve"> לארגון על שיתוף הפעולה ההדוק עמנו ועל עבודתו המאומצת במטרה לקדם עניין זה.</w:t>
      </w:r>
    </w:p>
    <w:p w:rsidR="00366C89" w:rsidRDefault="00695BFD" w:rsidP="00317E6A">
      <w:pPr>
        <w:spacing w:line="480" w:lineRule="auto"/>
        <w:jc w:val="both"/>
        <w:rPr>
          <w:rFonts w:hint="cs"/>
          <w:rtl/>
        </w:rPr>
      </w:pPr>
      <w:r>
        <w:rPr>
          <w:rFonts w:hint="cs"/>
          <w:rtl/>
        </w:rPr>
        <w:t>בחוות הדעת ננסה</w:t>
      </w:r>
      <w:r w:rsidR="0027640A">
        <w:rPr>
          <w:rtl/>
        </w:rPr>
        <w:t xml:space="preserve"> למצוא דרכים יעילות </w:t>
      </w:r>
      <w:r w:rsidR="0027640A">
        <w:rPr>
          <w:rFonts w:hint="cs"/>
          <w:rtl/>
        </w:rPr>
        <w:t xml:space="preserve">להתמודדות משפטית ראויה עם </w:t>
      </w:r>
      <w:r>
        <w:rPr>
          <w:rtl/>
        </w:rPr>
        <w:t>ה</w:t>
      </w:r>
      <w:r>
        <w:rPr>
          <w:rFonts w:hint="cs"/>
          <w:rtl/>
        </w:rPr>
        <w:t>וראה</w:t>
      </w:r>
      <w:r w:rsidR="0027640A">
        <w:rPr>
          <w:rtl/>
        </w:rPr>
        <w:t xml:space="preserve"> </w:t>
      </w:r>
      <w:r w:rsidR="0027640A">
        <w:rPr>
          <w:rFonts w:hint="cs"/>
          <w:rtl/>
        </w:rPr>
        <w:t>זו</w:t>
      </w:r>
      <w:r>
        <w:rPr>
          <w:rFonts w:hint="cs"/>
          <w:rtl/>
        </w:rPr>
        <w:t>. לשם כך,</w:t>
      </w:r>
      <w:r w:rsidR="0027640A">
        <w:rPr>
          <w:rFonts w:hint="cs"/>
          <w:rtl/>
        </w:rPr>
        <w:t xml:space="preserve"> </w:t>
      </w:r>
      <w:r w:rsidR="00E63953">
        <w:rPr>
          <w:rFonts w:hint="cs"/>
          <w:rtl/>
        </w:rPr>
        <w:t>נבדוק</w:t>
      </w:r>
      <w:r w:rsidR="0027640A">
        <w:rPr>
          <w:rtl/>
        </w:rPr>
        <w:t xml:space="preserve"> </w:t>
      </w:r>
      <w:r w:rsidR="0027640A">
        <w:rPr>
          <w:rFonts w:hint="cs"/>
          <w:rtl/>
        </w:rPr>
        <w:t xml:space="preserve">ראשית </w:t>
      </w:r>
      <w:r w:rsidR="0027640A">
        <w:rPr>
          <w:rtl/>
        </w:rPr>
        <w:t xml:space="preserve">את תוקפה ומעמדה </w:t>
      </w:r>
      <w:r w:rsidR="0027640A">
        <w:rPr>
          <w:rFonts w:hint="eastAsia"/>
          <w:rtl/>
        </w:rPr>
        <w:t>המשפטי</w:t>
      </w:r>
      <w:r w:rsidR="00E63953">
        <w:rPr>
          <w:rFonts w:hint="cs"/>
          <w:rtl/>
        </w:rPr>
        <w:t xml:space="preserve"> של ההוראה</w:t>
      </w:r>
      <w:r w:rsidR="0027640A">
        <w:rPr>
          <w:rtl/>
        </w:rPr>
        <w:t xml:space="preserve">. </w:t>
      </w:r>
      <w:r w:rsidR="00E63953">
        <w:rPr>
          <w:rFonts w:hint="cs"/>
          <w:rtl/>
        </w:rPr>
        <w:t>בהמשך נבחן</w:t>
      </w:r>
      <w:r w:rsidR="00317E6A">
        <w:rPr>
          <w:rFonts w:hint="cs"/>
          <w:rtl/>
        </w:rPr>
        <w:t xml:space="preserve"> האם כתוצאה מהוראה זו </w:t>
      </w:r>
      <w:r w:rsidR="00317E6A">
        <w:rPr>
          <w:rFonts w:hint="cs"/>
          <w:rtl/>
        </w:rPr>
        <w:lastRenderedPageBreak/>
        <w:t>נפגע עקרון השוויון, ובהמשך ישיר לכך נשאל</w:t>
      </w:r>
      <w:r w:rsidR="00E63953">
        <w:rPr>
          <w:rFonts w:hint="cs"/>
          <w:rtl/>
        </w:rPr>
        <w:t xml:space="preserve"> האם החזר הוצאות </w:t>
      </w:r>
      <w:r w:rsidR="00317E6A">
        <w:rPr>
          <w:rFonts w:hint="cs"/>
          <w:rtl/>
        </w:rPr>
        <w:t>ה</w:t>
      </w:r>
      <w:r w:rsidR="00E63953">
        <w:rPr>
          <w:rFonts w:hint="cs"/>
          <w:rtl/>
        </w:rPr>
        <w:t xml:space="preserve">רכב מהווה טובת הנאה, כפי שהדבר מוגדר בדיני המסים, </w:t>
      </w:r>
      <w:r w:rsidR="00317E6A">
        <w:rPr>
          <w:rFonts w:hint="cs"/>
          <w:rtl/>
        </w:rPr>
        <w:t xml:space="preserve">שכן במידה וכך הדבר - הרי שנפגעה הזכות לשוויון בשכר עבודה בעבור עבודה שווה. </w:t>
      </w:r>
    </w:p>
    <w:p w:rsidR="00E63953" w:rsidRDefault="00C31E7B" w:rsidP="00317E6A">
      <w:pPr>
        <w:spacing w:line="480" w:lineRule="auto"/>
        <w:jc w:val="both"/>
        <w:rPr>
          <w:rFonts w:hint="cs"/>
          <w:rtl/>
        </w:rPr>
      </w:pPr>
      <w:r>
        <w:rPr>
          <w:rFonts w:hint="cs"/>
          <w:rtl/>
        </w:rPr>
        <w:t>לבסוף, נסקור מהן דרכי הפעולה האפשריות להתמודדות עם הוראה זו.</w:t>
      </w:r>
    </w:p>
    <w:p w:rsidR="009D08CC" w:rsidRDefault="009D08CC" w:rsidP="0027640A">
      <w:pPr>
        <w:spacing w:line="480" w:lineRule="auto"/>
        <w:jc w:val="both"/>
        <w:rPr>
          <w:rFonts w:hint="cs"/>
          <w:rtl/>
        </w:rPr>
      </w:pPr>
    </w:p>
    <w:p w:rsidR="00317E6A" w:rsidRDefault="00317E6A" w:rsidP="0027640A">
      <w:pPr>
        <w:spacing w:line="480" w:lineRule="auto"/>
        <w:jc w:val="both"/>
        <w:rPr>
          <w:rFonts w:hint="cs"/>
          <w:rtl/>
        </w:rPr>
      </w:pPr>
    </w:p>
    <w:p w:rsidR="00D1565D" w:rsidRPr="00B80A68" w:rsidRDefault="008A1B86" w:rsidP="00E84146">
      <w:pPr>
        <w:pStyle w:val="1"/>
        <w:rPr>
          <w:rFonts w:hint="cs"/>
          <w:rtl/>
        </w:rPr>
      </w:pPr>
      <w:r>
        <w:rPr>
          <w:rtl/>
        </w:rPr>
        <w:br w:type="page"/>
      </w:r>
      <w:bookmarkStart w:id="2" w:name="_Toc144716255"/>
      <w:r w:rsidR="00D1565D" w:rsidRPr="00B80A68">
        <w:rPr>
          <w:rFonts w:hint="cs"/>
          <w:rtl/>
        </w:rPr>
        <w:lastRenderedPageBreak/>
        <w:t>פרק א</w:t>
      </w:r>
      <w:r w:rsidR="00D86D85">
        <w:rPr>
          <w:rFonts w:hint="cs"/>
          <w:rtl/>
        </w:rPr>
        <w:t>: כללי המשפט המנהלי וכפיפות החשב הכללי אליהן</w:t>
      </w:r>
      <w:bookmarkEnd w:id="2"/>
    </w:p>
    <w:p w:rsidR="0027640A" w:rsidRDefault="0027640A" w:rsidP="00C82F41">
      <w:pPr>
        <w:pStyle w:val="2"/>
        <w:rPr>
          <w:rFonts w:hint="cs"/>
          <w:rtl/>
        </w:rPr>
      </w:pPr>
      <w:bookmarkStart w:id="3" w:name="_Toc144716256"/>
      <w:r>
        <w:rPr>
          <w:rFonts w:hint="eastAsia"/>
          <w:rtl/>
        </w:rPr>
        <w:t>תיחום</w:t>
      </w:r>
      <w:r>
        <w:rPr>
          <w:rtl/>
        </w:rPr>
        <w:t xml:space="preserve"> והגדרת </w:t>
      </w:r>
      <w:r>
        <w:rPr>
          <w:rFonts w:hint="eastAsia"/>
          <w:rtl/>
        </w:rPr>
        <w:t>ה</w:t>
      </w:r>
      <w:r>
        <w:rPr>
          <w:rFonts w:hint="cs"/>
          <w:rtl/>
        </w:rPr>
        <w:t>הוראה</w:t>
      </w:r>
      <w:r>
        <w:rPr>
          <w:rtl/>
        </w:rPr>
        <w:t xml:space="preserve"> של </w:t>
      </w:r>
      <w:r>
        <w:rPr>
          <w:rFonts w:hint="cs"/>
          <w:rtl/>
        </w:rPr>
        <w:t>החשב הכללי</w:t>
      </w:r>
      <w:bookmarkEnd w:id="3"/>
    </w:p>
    <w:p w:rsidR="0027640A" w:rsidRDefault="0027640A" w:rsidP="0027640A">
      <w:pPr>
        <w:spacing w:line="480" w:lineRule="auto"/>
        <w:jc w:val="both"/>
        <w:rPr>
          <w:rFonts w:hint="cs"/>
          <w:rtl/>
        </w:rPr>
      </w:pPr>
      <w:r>
        <w:rPr>
          <w:rFonts w:hint="cs"/>
          <w:rtl/>
        </w:rPr>
        <w:t xml:space="preserve">החשב הכללי הינו אגף במשרד האוצר, על כן הוראותיו יבחנו </w:t>
      </w:r>
      <w:r w:rsidRPr="00D57D85">
        <w:rPr>
          <w:rFonts w:hint="cs"/>
          <w:u w:val="single"/>
          <w:rtl/>
        </w:rPr>
        <w:t>בתחום המשפט המנהלי</w:t>
      </w:r>
      <w:r>
        <w:rPr>
          <w:rFonts w:hint="cs"/>
          <w:rtl/>
        </w:rPr>
        <w:t xml:space="preserve">. </w:t>
      </w:r>
    </w:p>
    <w:p w:rsidR="0027640A" w:rsidRPr="006475D3" w:rsidRDefault="0027640A" w:rsidP="00171FE6">
      <w:pPr>
        <w:spacing w:line="480" w:lineRule="auto"/>
        <w:jc w:val="both"/>
        <w:rPr>
          <w:rtl/>
        </w:rPr>
      </w:pPr>
      <w:r>
        <w:rPr>
          <w:rFonts w:hint="eastAsia"/>
          <w:rtl/>
        </w:rPr>
        <w:t>הוראות</w:t>
      </w:r>
      <w:r>
        <w:rPr>
          <w:rtl/>
        </w:rPr>
        <w:t xml:space="preserve"> </w:t>
      </w:r>
      <w:r>
        <w:rPr>
          <w:rFonts w:hint="cs"/>
          <w:rtl/>
        </w:rPr>
        <w:t>החשב הכללי</w:t>
      </w:r>
      <w:r>
        <w:rPr>
          <w:rtl/>
        </w:rPr>
        <w:t xml:space="preserve"> </w:t>
      </w:r>
      <w:r>
        <w:rPr>
          <w:rFonts w:hint="eastAsia"/>
          <w:rtl/>
        </w:rPr>
        <w:t>נופלות</w:t>
      </w:r>
      <w:r>
        <w:rPr>
          <w:rtl/>
        </w:rPr>
        <w:t xml:space="preserve"> ל</w:t>
      </w:r>
      <w:r w:rsidR="00D1565D">
        <w:rPr>
          <w:rFonts w:hint="cs"/>
          <w:rtl/>
        </w:rPr>
        <w:t>גדר המונח המשפטי:</w:t>
      </w:r>
      <w:r>
        <w:rPr>
          <w:rtl/>
        </w:rPr>
        <w:t xml:space="preserve"> </w:t>
      </w:r>
      <w:r>
        <w:rPr>
          <w:rFonts w:hint="cs"/>
          <w:rtl/>
        </w:rPr>
        <w:t>"</w:t>
      </w:r>
      <w:r>
        <w:rPr>
          <w:rtl/>
        </w:rPr>
        <w:t>הנחיות מנהליות</w:t>
      </w:r>
      <w:r>
        <w:rPr>
          <w:rFonts w:hint="cs"/>
          <w:rtl/>
        </w:rPr>
        <w:t>". הגדרה של המונח מובאת ע"י המלומד רענן הר-זהב:</w:t>
      </w:r>
      <w:r w:rsidR="00171FE6">
        <w:rPr>
          <w:rFonts w:hint="cs"/>
          <w:rtl/>
        </w:rPr>
        <w:t xml:space="preserve"> </w:t>
      </w:r>
      <w:r w:rsidRPr="006475D3">
        <w:rPr>
          <w:rtl/>
        </w:rPr>
        <w:t>"</w:t>
      </w:r>
      <w:r w:rsidRPr="006475D3">
        <w:rPr>
          <w:rFonts w:hint="eastAsia"/>
          <w:rtl/>
        </w:rPr>
        <w:t>הנחיות</w:t>
      </w:r>
      <w:r w:rsidRPr="006475D3">
        <w:rPr>
          <w:rtl/>
        </w:rPr>
        <w:t xml:space="preserve"> </w:t>
      </w:r>
      <w:r w:rsidRPr="006475D3">
        <w:rPr>
          <w:rFonts w:hint="eastAsia"/>
          <w:rtl/>
        </w:rPr>
        <w:t>מנהליות</w:t>
      </w:r>
      <w:r w:rsidRPr="006475D3">
        <w:rPr>
          <w:rFonts w:hint="cs"/>
          <w:rtl/>
        </w:rPr>
        <w:t>,</w:t>
      </w:r>
      <w:r w:rsidRPr="006475D3">
        <w:rPr>
          <w:rtl/>
        </w:rPr>
        <w:t xml:space="preserve"> הנקראות גם קריטריונים פנימיים או כללי מדיניות מנהלית, הן כל אותם חוזרים </w:t>
      </w:r>
      <w:r w:rsidRPr="006475D3">
        <w:rPr>
          <w:rFonts w:hint="eastAsia"/>
          <w:rtl/>
        </w:rPr>
        <w:t>פנימיים</w:t>
      </w:r>
      <w:r w:rsidRPr="006475D3">
        <w:rPr>
          <w:rtl/>
        </w:rPr>
        <w:t xml:space="preserve">, הוראות מינהליות, הנחיות, קווי פעולה ומסמכים פנימיים שהרשות המנהלית קובעת </w:t>
      </w:r>
      <w:r w:rsidRPr="006475D3">
        <w:rPr>
          <w:rFonts w:hint="eastAsia"/>
          <w:rtl/>
        </w:rPr>
        <w:t>לעצמה</w:t>
      </w:r>
      <w:r w:rsidRPr="006475D3">
        <w:rPr>
          <w:rtl/>
        </w:rPr>
        <w:t>, ככללי מדיניות וכקריטריונים להפעלת סמכויותיה</w:t>
      </w:r>
      <w:r w:rsidRPr="006475D3">
        <w:rPr>
          <w:rStyle w:val="a4"/>
          <w:rtl/>
        </w:rPr>
        <w:footnoteReference w:id="2"/>
      </w:r>
      <w:r w:rsidRPr="006475D3">
        <w:rPr>
          <w:rtl/>
        </w:rPr>
        <w:t>".</w:t>
      </w:r>
    </w:p>
    <w:p w:rsidR="0027640A" w:rsidRDefault="0027640A" w:rsidP="0027640A">
      <w:pPr>
        <w:spacing w:line="480" w:lineRule="auto"/>
        <w:jc w:val="both"/>
        <w:rPr>
          <w:rFonts w:hint="cs"/>
          <w:rtl/>
        </w:rPr>
      </w:pPr>
    </w:p>
    <w:p w:rsidR="0027640A" w:rsidRPr="006475D3" w:rsidRDefault="0027640A" w:rsidP="00171FE6">
      <w:pPr>
        <w:spacing w:line="480" w:lineRule="auto"/>
        <w:jc w:val="both"/>
        <w:rPr>
          <w:rFonts w:hint="cs"/>
          <w:rtl/>
        </w:rPr>
      </w:pPr>
      <w:r>
        <w:rPr>
          <w:rFonts w:hint="cs"/>
          <w:rtl/>
        </w:rPr>
        <w:t>הסבר נוסף נמצא בדברי המלומד י.</w:t>
      </w:r>
      <w:r>
        <w:rPr>
          <w:rtl/>
        </w:rPr>
        <w:t xml:space="preserve"> זמיר</w:t>
      </w:r>
      <w:r>
        <w:rPr>
          <w:rStyle w:val="a4"/>
          <w:rtl/>
        </w:rPr>
        <w:footnoteReference w:id="3"/>
      </w:r>
      <w:r>
        <w:rPr>
          <w:rtl/>
        </w:rPr>
        <w:t>:</w:t>
      </w:r>
      <w:r w:rsidR="00171FE6">
        <w:rPr>
          <w:rFonts w:hint="cs"/>
          <w:rtl/>
        </w:rPr>
        <w:t xml:space="preserve"> </w:t>
      </w:r>
      <w:r w:rsidRPr="006475D3">
        <w:rPr>
          <w:rtl/>
        </w:rPr>
        <w:t>"</w:t>
      </w:r>
      <w:r w:rsidRPr="006475D3">
        <w:rPr>
          <w:rFonts w:hint="eastAsia"/>
          <w:rtl/>
        </w:rPr>
        <w:t>הנחיות</w:t>
      </w:r>
      <w:r w:rsidRPr="006475D3">
        <w:rPr>
          <w:rtl/>
        </w:rPr>
        <w:t xml:space="preserve"> </w:t>
      </w:r>
      <w:r w:rsidRPr="006475D3">
        <w:rPr>
          <w:rFonts w:hint="eastAsia"/>
          <w:rtl/>
        </w:rPr>
        <w:t>מנהלית</w:t>
      </w:r>
      <w:r w:rsidRPr="006475D3">
        <w:rPr>
          <w:rtl/>
        </w:rPr>
        <w:t xml:space="preserve"> הן כללים גמישים שהמינהל הציבורי קובע כדי להדריך את עצמו במילוי תפקידיו. הן </w:t>
      </w:r>
      <w:r w:rsidRPr="006475D3">
        <w:rPr>
          <w:rFonts w:hint="eastAsia"/>
          <w:rtl/>
        </w:rPr>
        <w:t>קרויות</w:t>
      </w:r>
      <w:r w:rsidRPr="006475D3">
        <w:rPr>
          <w:rtl/>
        </w:rPr>
        <w:t xml:space="preserve"> בשמות משמות שונים: הנחיות פנימיות, מדיניות, נוהל, קווי פעולה, קריטריונים </w:t>
      </w:r>
      <w:r w:rsidRPr="006475D3">
        <w:rPr>
          <w:rFonts w:hint="eastAsia"/>
          <w:rtl/>
        </w:rPr>
        <w:t>ועוד</w:t>
      </w:r>
      <w:r w:rsidRPr="006475D3">
        <w:rPr>
          <w:rtl/>
        </w:rPr>
        <w:t xml:space="preserve">. המכנה המשותף לכל אלה כפול: מצד אחד, אלה הם כללים במובן זה שהם מתווים </w:t>
      </w:r>
      <w:r w:rsidRPr="006475D3">
        <w:rPr>
          <w:rFonts w:hint="eastAsia"/>
          <w:rtl/>
        </w:rPr>
        <w:t>התנהגות</w:t>
      </w:r>
      <w:r w:rsidRPr="006475D3">
        <w:rPr>
          <w:rtl/>
        </w:rPr>
        <w:t>,</w:t>
      </w:r>
      <w:r>
        <w:rPr>
          <w:rtl/>
        </w:rPr>
        <w:t xml:space="preserve"> לא במקרה אחד אלא בסוג של מקרים</w:t>
      </w:r>
      <w:r w:rsidRPr="006475D3">
        <w:rPr>
          <w:rtl/>
        </w:rPr>
        <w:t xml:space="preserve">. מצד שני, אין הם כללים נוקשים, כמו חוק </w:t>
      </w:r>
      <w:r w:rsidRPr="006475D3">
        <w:rPr>
          <w:rFonts w:hint="eastAsia"/>
          <w:rtl/>
        </w:rPr>
        <w:t>או</w:t>
      </w:r>
      <w:r w:rsidRPr="006475D3">
        <w:rPr>
          <w:rtl/>
        </w:rPr>
        <w:t xml:space="preserve"> תקנה שאי אפשר לסטות מהם, אלה הם כללים גמישים שאפשר וראוי לסטות מהם בנסיבות </w:t>
      </w:r>
      <w:r w:rsidRPr="006475D3">
        <w:rPr>
          <w:rFonts w:hint="eastAsia"/>
          <w:rtl/>
        </w:rPr>
        <w:t>ראויות</w:t>
      </w:r>
      <w:r w:rsidRPr="006475D3">
        <w:rPr>
          <w:rtl/>
        </w:rPr>
        <w:t xml:space="preserve">" </w:t>
      </w:r>
      <w:r w:rsidRPr="006475D3">
        <w:rPr>
          <w:rFonts w:hint="cs"/>
          <w:rtl/>
        </w:rPr>
        <w:t>.</w:t>
      </w:r>
    </w:p>
    <w:p w:rsidR="0027640A" w:rsidRDefault="0027640A" w:rsidP="0027640A">
      <w:pPr>
        <w:spacing w:line="480" w:lineRule="auto"/>
        <w:jc w:val="both"/>
        <w:rPr>
          <w:rFonts w:hint="cs"/>
          <w:b/>
          <w:bCs/>
          <w:rtl/>
        </w:rPr>
      </w:pPr>
    </w:p>
    <w:p w:rsidR="0027640A" w:rsidRPr="006475D3" w:rsidRDefault="0027640A" w:rsidP="007A1596">
      <w:pPr>
        <w:spacing w:line="480" w:lineRule="auto"/>
        <w:jc w:val="both"/>
        <w:rPr>
          <w:rFonts w:hint="cs"/>
          <w:rtl/>
        </w:rPr>
      </w:pPr>
      <w:r w:rsidRPr="006475D3">
        <w:rPr>
          <w:rFonts w:hint="cs"/>
          <w:rtl/>
        </w:rPr>
        <w:t xml:space="preserve">במקרה דנן </w:t>
      </w:r>
      <w:r w:rsidRPr="006475D3">
        <w:rPr>
          <w:rFonts w:hint="eastAsia"/>
          <w:rtl/>
        </w:rPr>
        <w:t>מדובר</w:t>
      </w:r>
      <w:r w:rsidRPr="006475D3">
        <w:rPr>
          <w:rtl/>
        </w:rPr>
        <w:t xml:space="preserve"> ב</w:t>
      </w:r>
      <w:r w:rsidRPr="006475D3">
        <w:rPr>
          <w:rFonts w:hint="cs"/>
          <w:rtl/>
        </w:rPr>
        <w:t>הוראה</w:t>
      </w:r>
      <w:r w:rsidRPr="006475D3">
        <w:rPr>
          <w:rtl/>
        </w:rPr>
        <w:t xml:space="preserve"> </w:t>
      </w:r>
      <w:r w:rsidRPr="006475D3">
        <w:rPr>
          <w:rFonts w:hint="eastAsia"/>
          <w:b/>
          <w:bCs/>
          <w:rtl/>
        </w:rPr>
        <w:t>שממוע</w:t>
      </w:r>
      <w:r w:rsidRPr="006475D3">
        <w:rPr>
          <w:rFonts w:hint="cs"/>
          <w:b/>
          <w:bCs/>
          <w:rtl/>
        </w:rPr>
        <w:t>נת</w:t>
      </w:r>
      <w:r w:rsidRPr="006475D3">
        <w:rPr>
          <w:b/>
          <w:bCs/>
          <w:rtl/>
        </w:rPr>
        <w:t xml:space="preserve"> למנהלים הכללים במשרדי הממשלה</w:t>
      </w:r>
      <w:r w:rsidRPr="006475D3">
        <w:rPr>
          <w:rtl/>
        </w:rPr>
        <w:t xml:space="preserve">, </w:t>
      </w:r>
      <w:r w:rsidRPr="006475D3">
        <w:rPr>
          <w:rFonts w:hint="cs"/>
          <w:rtl/>
        </w:rPr>
        <w:t>והוראה זו</w:t>
      </w:r>
      <w:r w:rsidRPr="006475D3">
        <w:rPr>
          <w:rtl/>
        </w:rPr>
        <w:t xml:space="preserve"> </w:t>
      </w:r>
      <w:r w:rsidRPr="006475D3">
        <w:rPr>
          <w:b/>
          <w:bCs/>
          <w:rtl/>
        </w:rPr>
        <w:t>מפרטת מדיניות וקובע</w:t>
      </w:r>
      <w:r w:rsidRPr="006475D3">
        <w:rPr>
          <w:rFonts w:hint="cs"/>
          <w:b/>
          <w:bCs/>
          <w:rtl/>
        </w:rPr>
        <w:t>ת</w:t>
      </w:r>
      <w:r w:rsidRPr="006475D3">
        <w:rPr>
          <w:b/>
          <w:bCs/>
          <w:rtl/>
        </w:rPr>
        <w:t xml:space="preserve"> קריטריונים</w:t>
      </w:r>
      <w:r w:rsidRPr="006475D3">
        <w:rPr>
          <w:rtl/>
        </w:rPr>
        <w:t xml:space="preserve"> </w:t>
      </w:r>
      <w:r w:rsidRPr="006475D3">
        <w:rPr>
          <w:rFonts w:hint="eastAsia"/>
          <w:rtl/>
        </w:rPr>
        <w:t>להענקת</w:t>
      </w:r>
      <w:r>
        <w:rPr>
          <w:rtl/>
        </w:rPr>
        <w:t xml:space="preserve"> החזרי הוצאות רכב. </w:t>
      </w:r>
      <w:r w:rsidR="00695BFD">
        <w:rPr>
          <w:rFonts w:hint="cs"/>
          <w:rtl/>
        </w:rPr>
        <w:t>יש לשים לב כי הגדרו</w:t>
      </w:r>
      <w:r>
        <w:rPr>
          <w:rFonts w:hint="cs"/>
          <w:rtl/>
        </w:rPr>
        <w:t>ת</w:t>
      </w:r>
      <w:r w:rsidR="00695BFD">
        <w:rPr>
          <w:rFonts w:hint="cs"/>
          <w:rtl/>
        </w:rPr>
        <w:t xml:space="preserve"> ההנחיה המנהלית, כפי שמובאות לעיל, </w:t>
      </w:r>
      <w:r>
        <w:rPr>
          <w:rFonts w:hint="cs"/>
          <w:rtl/>
        </w:rPr>
        <w:t xml:space="preserve">מצביעות על </w:t>
      </w:r>
      <w:r w:rsidRPr="006475D3">
        <w:rPr>
          <w:b/>
          <w:bCs/>
          <w:rtl/>
        </w:rPr>
        <w:t>גמישות</w:t>
      </w:r>
      <w:r w:rsidR="00695BFD">
        <w:rPr>
          <w:rFonts w:hint="cs"/>
          <w:b/>
          <w:bCs/>
          <w:rtl/>
        </w:rPr>
        <w:t xml:space="preserve"> </w:t>
      </w:r>
      <w:r w:rsidR="00695BFD">
        <w:rPr>
          <w:rFonts w:hint="cs"/>
          <w:rtl/>
        </w:rPr>
        <w:t xml:space="preserve">ועל אפשרות </w:t>
      </w:r>
      <w:r w:rsidR="00695BFD" w:rsidRPr="00695BFD">
        <w:rPr>
          <w:rFonts w:hint="cs"/>
          <w:b/>
          <w:bCs/>
          <w:rtl/>
        </w:rPr>
        <w:t>לסטות מן ההנחיות</w:t>
      </w:r>
      <w:r w:rsidR="00695BFD">
        <w:rPr>
          <w:rFonts w:hint="cs"/>
          <w:rtl/>
        </w:rPr>
        <w:t xml:space="preserve"> ה</w:t>
      </w:r>
      <w:r>
        <w:rPr>
          <w:rFonts w:hint="cs"/>
          <w:rtl/>
        </w:rPr>
        <w:t>מנהליות</w:t>
      </w:r>
      <w:r w:rsidR="00695BFD">
        <w:rPr>
          <w:rFonts w:hint="cs"/>
          <w:rtl/>
        </w:rPr>
        <w:t xml:space="preserve"> בנסיבות ראויות</w:t>
      </w:r>
      <w:r>
        <w:rPr>
          <w:rFonts w:hint="cs"/>
          <w:rtl/>
        </w:rPr>
        <w:t>,</w:t>
      </w:r>
      <w:r w:rsidR="00695BFD">
        <w:rPr>
          <w:rFonts w:hint="cs"/>
          <w:rtl/>
        </w:rPr>
        <w:t xml:space="preserve"> למשל כפי שבענייננו </w:t>
      </w:r>
      <w:r w:rsidR="007A1596">
        <w:rPr>
          <w:rFonts w:hint="cs"/>
          <w:rtl/>
        </w:rPr>
        <w:t xml:space="preserve">קיימות נסיבות ראויות של </w:t>
      </w:r>
      <w:r w:rsidR="00695BFD">
        <w:rPr>
          <w:rFonts w:hint="cs"/>
          <w:rtl/>
        </w:rPr>
        <w:t>פגיעה באינטרס הסביבתי.</w:t>
      </w:r>
      <w:r w:rsidRPr="006475D3">
        <w:rPr>
          <w:rtl/>
        </w:rPr>
        <w:t xml:space="preserve"> </w:t>
      </w:r>
      <w:r>
        <w:rPr>
          <w:rFonts w:hint="cs"/>
          <w:rtl/>
        </w:rPr>
        <w:t xml:space="preserve">דבר זה </w:t>
      </w:r>
      <w:r>
        <w:rPr>
          <w:rtl/>
        </w:rPr>
        <w:t>מתוו</w:t>
      </w:r>
      <w:r>
        <w:rPr>
          <w:rFonts w:hint="cs"/>
          <w:rtl/>
        </w:rPr>
        <w:t>ה</w:t>
      </w:r>
      <w:r w:rsidRPr="006475D3">
        <w:rPr>
          <w:rFonts w:hint="cs"/>
          <w:rtl/>
        </w:rPr>
        <w:t xml:space="preserve"> </w:t>
      </w:r>
      <w:r w:rsidRPr="006475D3">
        <w:rPr>
          <w:rtl/>
        </w:rPr>
        <w:t xml:space="preserve">דרך לשינוי </w:t>
      </w:r>
      <w:r w:rsidR="007A1596">
        <w:rPr>
          <w:rFonts w:hint="cs"/>
          <w:rtl/>
        </w:rPr>
        <w:t xml:space="preserve">ההוראות כפי שמופיעות כיום, או לפחות שינוי </w:t>
      </w:r>
      <w:r w:rsidRPr="006475D3">
        <w:rPr>
          <w:rtl/>
        </w:rPr>
        <w:t>שיטת התחשיב של ההחזרים</w:t>
      </w:r>
      <w:r w:rsidR="007A1596">
        <w:rPr>
          <w:rFonts w:hint="cs"/>
          <w:rtl/>
        </w:rPr>
        <w:t xml:space="preserve"> הגבוהים לבעלי הרכב.</w:t>
      </w:r>
      <w:r>
        <w:rPr>
          <w:rtl/>
        </w:rPr>
        <w:t xml:space="preserve"> </w:t>
      </w:r>
    </w:p>
    <w:p w:rsidR="0027640A" w:rsidRDefault="0027640A" w:rsidP="00C82F41">
      <w:pPr>
        <w:pStyle w:val="2"/>
        <w:rPr>
          <w:rtl/>
        </w:rPr>
      </w:pPr>
    </w:p>
    <w:p w:rsidR="0027640A" w:rsidRPr="00CD571E" w:rsidRDefault="00C82F41" w:rsidP="00C82F41">
      <w:pPr>
        <w:pStyle w:val="2"/>
        <w:rPr>
          <w:rFonts w:hint="cs"/>
          <w:rtl/>
        </w:rPr>
      </w:pPr>
      <w:r>
        <w:rPr>
          <w:rtl/>
        </w:rPr>
        <w:br w:type="page"/>
      </w:r>
      <w:bookmarkStart w:id="4" w:name="_Toc144716257"/>
      <w:r w:rsidR="0027640A" w:rsidRPr="00CD571E">
        <w:rPr>
          <w:rFonts w:hint="eastAsia"/>
          <w:rtl/>
        </w:rPr>
        <w:lastRenderedPageBreak/>
        <w:t>מעמד</w:t>
      </w:r>
      <w:r w:rsidR="0027640A">
        <w:rPr>
          <w:rFonts w:hint="cs"/>
          <w:rtl/>
        </w:rPr>
        <w:t>ה המשפטי</w:t>
      </w:r>
      <w:r w:rsidR="0027640A">
        <w:rPr>
          <w:rtl/>
        </w:rPr>
        <w:t xml:space="preserve"> של הה</w:t>
      </w:r>
      <w:r w:rsidR="0027640A">
        <w:rPr>
          <w:rFonts w:hint="cs"/>
          <w:rtl/>
        </w:rPr>
        <w:t>וראה</w:t>
      </w:r>
      <w:bookmarkEnd w:id="4"/>
    </w:p>
    <w:p w:rsidR="0027640A" w:rsidRDefault="0027640A" w:rsidP="0027640A">
      <w:pPr>
        <w:spacing w:line="480" w:lineRule="auto"/>
        <w:jc w:val="both"/>
        <w:rPr>
          <w:rtl/>
        </w:rPr>
      </w:pPr>
      <w:r>
        <w:rPr>
          <w:rFonts w:hint="eastAsia"/>
          <w:rtl/>
        </w:rPr>
        <w:t>בתי</w:t>
      </w:r>
      <w:r>
        <w:rPr>
          <w:rtl/>
        </w:rPr>
        <w:t xml:space="preserve"> המשפט ראו </w:t>
      </w:r>
      <w:r>
        <w:rPr>
          <w:rFonts w:hint="eastAsia"/>
          <w:rtl/>
        </w:rPr>
        <w:t>בהנחיות</w:t>
      </w:r>
      <w:r>
        <w:rPr>
          <w:rtl/>
        </w:rPr>
        <w:t xml:space="preserve"> </w:t>
      </w:r>
      <w:r>
        <w:rPr>
          <w:rFonts w:hint="cs"/>
          <w:rtl/>
        </w:rPr>
        <w:t xml:space="preserve">מנהליות </w:t>
      </w:r>
      <w:r>
        <w:rPr>
          <w:rtl/>
        </w:rPr>
        <w:t xml:space="preserve">מבחינה מהותית הפעלת שקול דעת מנהלי, וההתייחסות שלהם הייתה בהתאם להתייחסותם </w:t>
      </w:r>
      <w:r>
        <w:rPr>
          <w:rFonts w:hint="eastAsia"/>
          <w:rtl/>
        </w:rPr>
        <w:t>לכל</w:t>
      </w:r>
      <w:r>
        <w:rPr>
          <w:rtl/>
        </w:rPr>
        <w:t xml:space="preserve"> הפעלה של שקול דעת מנהלי.</w:t>
      </w:r>
    </w:p>
    <w:p w:rsidR="0027640A" w:rsidRDefault="0027640A" w:rsidP="0027640A">
      <w:pPr>
        <w:spacing w:line="480" w:lineRule="auto"/>
        <w:jc w:val="both"/>
        <w:rPr>
          <w:rtl/>
        </w:rPr>
      </w:pPr>
      <w:r>
        <w:rPr>
          <w:rFonts w:hint="eastAsia"/>
          <w:rtl/>
        </w:rPr>
        <w:t>אולם</w:t>
      </w:r>
      <w:r>
        <w:rPr>
          <w:rtl/>
        </w:rPr>
        <w:t xml:space="preserve"> בשונה </w:t>
      </w:r>
      <w:r>
        <w:rPr>
          <w:rFonts w:hint="eastAsia"/>
          <w:rtl/>
        </w:rPr>
        <w:t>מהפעלת</w:t>
      </w:r>
      <w:r>
        <w:rPr>
          <w:rtl/>
        </w:rPr>
        <w:t xml:space="preserve"> שק</w:t>
      </w:r>
      <w:r>
        <w:rPr>
          <w:rFonts w:hint="cs"/>
          <w:rtl/>
        </w:rPr>
        <w:t>ול דעת</w:t>
      </w:r>
      <w:r>
        <w:rPr>
          <w:rtl/>
        </w:rPr>
        <w:t xml:space="preserve"> לגבי מקרה מסוים</w:t>
      </w:r>
      <w:r>
        <w:rPr>
          <w:rFonts w:hint="cs"/>
          <w:rtl/>
        </w:rPr>
        <w:t>,</w:t>
      </w:r>
      <w:r>
        <w:rPr>
          <w:rtl/>
        </w:rPr>
        <w:t xml:space="preserve"> הרי שיצירת ההנחיות מהווה הפעלת שק</w:t>
      </w:r>
      <w:r>
        <w:rPr>
          <w:rFonts w:hint="cs"/>
          <w:rtl/>
        </w:rPr>
        <w:t>ול דעת</w:t>
      </w:r>
      <w:r>
        <w:rPr>
          <w:rtl/>
        </w:rPr>
        <w:t xml:space="preserve"> באופן </w:t>
      </w:r>
      <w:r>
        <w:rPr>
          <w:rFonts w:hint="eastAsia"/>
          <w:rtl/>
        </w:rPr>
        <w:t>קיבוצי</w:t>
      </w:r>
      <w:r>
        <w:rPr>
          <w:rtl/>
        </w:rPr>
        <w:t xml:space="preserve"> ל</w:t>
      </w:r>
      <w:r>
        <w:rPr>
          <w:rFonts w:hint="cs"/>
          <w:rtl/>
        </w:rPr>
        <w:t>ג</w:t>
      </w:r>
      <w:r>
        <w:rPr>
          <w:rtl/>
        </w:rPr>
        <w:t xml:space="preserve">בי סוג של מקרים, כאשר במקום שהרשות המנהלית תעבור מחדש בכל מקרה ומקרה את </w:t>
      </w:r>
      <w:r>
        <w:rPr>
          <w:rFonts w:hint="eastAsia"/>
          <w:rtl/>
        </w:rPr>
        <w:t>התהליך</w:t>
      </w:r>
      <w:r>
        <w:rPr>
          <w:rtl/>
        </w:rPr>
        <w:t xml:space="preserve"> המורכב של הפעלת שקול הדעת שכולל בחינת מטרת החוק המסמיך</w:t>
      </w:r>
      <w:r>
        <w:rPr>
          <w:rStyle w:val="a4"/>
          <w:rtl/>
        </w:rPr>
        <w:footnoteReference w:id="4"/>
      </w:r>
      <w:r>
        <w:rPr>
          <w:rtl/>
        </w:rPr>
        <w:t xml:space="preserve">, </w:t>
      </w:r>
      <w:r>
        <w:rPr>
          <w:rFonts w:hint="eastAsia"/>
          <w:rtl/>
        </w:rPr>
        <w:t>בחינת</w:t>
      </w:r>
      <w:r>
        <w:rPr>
          <w:rtl/>
        </w:rPr>
        <w:t xml:space="preserve"> השיקולים הרלוונטיים ומתן משקל ראוי ונכון לאותם שיקולים, היא עוברת את התהליך </w:t>
      </w:r>
      <w:r>
        <w:rPr>
          <w:rFonts w:hint="eastAsia"/>
          <w:rtl/>
        </w:rPr>
        <w:t>באופן</w:t>
      </w:r>
      <w:r>
        <w:rPr>
          <w:rtl/>
        </w:rPr>
        <w:t xml:space="preserve"> קיבוצי לגבי סוג של מקרים</w:t>
      </w:r>
      <w:r>
        <w:rPr>
          <w:rStyle w:val="a4"/>
          <w:rtl/>
        </w:rPr>
        <w:footnoteReference w:id="5"/>
      </w:r>
      <w:r>
        <w:rPr>
          <w:rtl/>
        </w:rPr>
        <w:t xml:space="preserve">. </w:t>
      </w:r>
    </w:p>
    <w:p w:rsidR="0027640A" w:rsidRDefault="0027640A" w:rsidP="0027640A">
      <w:pPr>
        <w:spacing w:line="480" w:lineRule="auto"/>
        <w:jc w:val="both"/>
        <w:rPr>
          <w:rFonts w:hint="cs"/>
          <w:rtl/>
        </w:rPr>
      </w:pPr>
      <w:r>
        <w:rPr>
          <w:rFonts w:hint="eastAsia"/>
          <w:rtl/>
        </w:rPr>
        <w:t>ואולם</w:t>
      </w:r>
      <w:r>
        <w:rPr>
          <w:rtl/>
        </w:rPr>
        <w:t xml:space="preserve"> מבחינת </w:t>
      </w:r>
      <w:r>
        <w:rPr>
          <w:rFonts w:hint="eastAsia"/>
          <w:rtl/>
        </w:rPr>
        <w:t>ביקורת</w:t>
      </w:r>
      <w:r>
        <w:rPr>
          <w:rtl/>
        </w:rPr>
        <w:t xml:space="preserve"> שיפוטית, יש להנחיות מנהליות מעמד מעט יותר טוב מאשר הפעלת שיקול דעת </w:t>
      </w:r>
      <w:r>
        <w:rPr>
          <w:rFonts w:hint="eastAsia"/>
          <w:rtl/>
        </w:rPr>
        <w:t>אינדיבידואלי</w:t>
      </w:r>
      <w:r>
        <w:rPr>
          <w:rtl/>
        </w:rPr>
        <w:t xml:space="preserve">, משום שההנחיות נתפסות על ידי בית </w:t>
      </w:r>
      <w:r>
        <w:rPr>
          <w:rFonts w:hint="cs"/>
          <w:rtl/>
        </w:rPr>
        <w:t>ה</w:t>
      </w:r>
      <w:r>
        <w:rPr>
          <w:rtl/>
        </w:rPr>
        <w:t xml:space="preserve">משפט ככאלה שגובשו לאחר מחשבה עמוקה </w:t>
      </w:r>
      <w:r>
        <w:rPr>
          <w:rFonts w:hint="eastAsia"/>
          <w:rtl/>
        </w:rPr>
        <w:t>ולא</w:t>
      </w:r>
      <w:r>
        <w:rPr>
          <w:rtl/>
        </w:rPr>
        <w:t xml:space="preserve"> שרירותית, וכן בשל היות בית המשפט מודע ליתרונות שגיבוש הנחיות נושא בחובו: </w:t>
      </w:r>
      <w:r>
        <w:rPr>
          <w:rFonts w:hint="eastAsia"/>
          <w:rtl/>
        </w:rPr>
        <w:t>כמו</w:t>
      </w:r>
      <w:r>
        <w:rPr>
          <w:rtl/>
        </w:rPr>
        <w:t xml:space="preserve"> הענקת וודאות ושקיפות בפעולת הרשות, יצירת מצג שהרשות פועלת בצורה עניינית, </w:t>
      </w:r>
      <w:r>
        <w:rPr>
          <w:rFonts w:hint="eastAsia"/>
          <w:rtl/>
        </w:rPr>
        <w:t>הוגנת</w:t>
      </w:r>
      <w:r>
        <w:rPr>
          <w:rtl/>
        </w:rPr>
        <w:t>, יעילה ושווה לכל. יתרונות אלו חשובים הן למנהל האזרחי,</w:t>
      </w:r>
      <w:r>
        <w:rPr>
          <w:rFonts w:hint="cs"/>
          <w:rtl/>
        </w:rPr>
        <w:t xml:space="preserve"> </w:t>
      </w:r>
      <w:r>
        <w:rPr>
          <w:rtl/>
        </w:rPr>
        <w:t xml:space="preserve">לאזרח הנזקק לפעולת </w:t>
      </w:r>
      <w:r>
        <w:rPr>
          <w:rFonts w:hint="eastAsia"/>
          <w:rtl/>
        </w:rPr>
        <w:t>הרשות</w:t>
      </w:r>
      <w:r w:rsidR="0030496D">
        <w:rPr>
          <w:rtl/>
        </w:rPr>
        <w:t xml:space="preserve"> והן לבית המשפט המבקר את </w:t>
      </w:r>
      <w:r>
        <w:rPr>
          <w:rFonts w:hint="eastAsia"/>
          <w:rtl/>
        </w:rPr>
        <w:t>החלטת</w:t>
      </w:r>
      <w:r>
        <w:rPr>
          <w:rtl/>
        </w:rPr>
        <w:t xml:space="preserve"> </w:t>
      </w:r>
      <w:r>
        <w:rPr>
          <w:rFonts w:hint="eastAsia"/>
          <w:rtl/>
        </w:rPr>
        <w:t>הרשות</w:t>
      </w:r>
      <w:r>
        <w:rPr>
          <w:rtl/>
        </w:rPr>
        <w:t>.</w:t>
      </w:r>
    </w:p>
    <w:p w:rsidR="0027640A" w:rsidRDefault="0027640A" w:rsidP="0027640A">
      <w:pPr>
        <w:spacing w:line="480" w:lineRule="auto"/>
        <w:jc w:val="both"/>
        <w:rPr>
          <w:rFonts w:hint="cs"/>
          <w:rtl/>
        </w:rPr>
      </w:pPr>
    </w:p>
    <w:p w:rsidR="0027640A" w:rsidRPr="00A37B36" w:rsidRDefault="0027640A" w:rsidP="00C82F41">
      <w:pPr>
        <w:pStyle w:val="2"/>
        <w:rPr>
          <w:rFonts w:hint="cs"/>
          <w:rtl/>
        </w:rPr>
      </w:pPr>
      <w:bookmarkStart w:id="5" w:name="_Toc144716258"/>
      <w:r w:rsidRPr="00A37B36">
        <w:rPr>
          <w:rFonts w:hint="cs"/>
          <w:rtl/>
        </w:rPr>
        <w:t>עקרונות</w:t>
      </w:r>
      <w:r>
        <w:rPr>
          <w:rFonts w:hint="cs"/>
          <w:rtl/>
        </w:rPr>
        <w:t>-על  ב</w:t>
      </w:r>
      <w:r w:rsidRPr="00A37B36">
        <w:rPr>
          <w:rFonts w:hint="cs"/>
          <w:rtl/>
        </w:rPr>
        <w:t>משפט המנהלי</w:t>
      </w:r>
      <w:bookmarkEnd w:id="5"/>
    </w:p>
    <w:p w:rsidR="0027640A" w:rsidRDefault="0027640A" w:rsidP="0027640A">
      <w:pPr>
        <w:spacing w:line="480" w:lineRule="auto"/>
        <w:rPr>
          <w:rFonts w:hint="cs"/>
          <w:rtl/>
        </w:rPr>
      </w:pPr>
      <w:r>
        <w:rPr>
          <w:rFonts w:hint="cs"/>
          <w:rtl/>
        </w:rPr>
        <w:t>גוף הפועל במסגרת המשפט המנהלי מחוייב לעקרונות-על הקבועים בחקיקה ובפסיקה.</w:t>
      </w:r>
    </w:p>
    <w:p w:rsidR="0027640A" w:rsidRDefault="0027640A" w:rsidP="0027640A">
      <w:pPr>
        <w:spacing w:line="480" w:lineRule="auto"/>
        <w:rPr>
          <w:rFonts w:hint="cs"/>
          <w:rtl/>
        </w:rPr>
      </w:pPr>
      <w:r>
        <w:rPr>
          <w:rFonts w:hint="cs"/>
          <w:rtl/>
        </w:rPr>
        <w:t>אגף החשב הכללי, בהיותו גוף מנהלי, כפוף לעקרונות אלו ומחוייב לפעול על-פיהם.</w:t>
      </w:r>
    </w:p>
    <w:p w:rsidR="0027640A" w:rsidRDefault="0027640A" w:rsidP="0027640A">
      <w:pPr>
        <w:spacing w:line="480" w:lineRule="auto"/>
        <w:rPr>
          <w:rFonts w:hint="cs"/>
          <w:rtl/>
        </w:rPr>
      </w:pPr>
      <w:r>
        <w:rPr>
          <w:rFonts w:hint="cs"/>
          <w:rtl/>
        </w:rPr>
        <w:t xml:space="preserve">ראוי לציין כי פעולה העומדת בסתירה לעקרונות אלו יכולה להביא לביטול המעשה המנהלי. </w:t>
      </w:r>
    </w:p>
    <w:p w:rsidR="0027640A" w:rsidRDefault="0027640A" w:rsidP="0027640A">
      <w:pPr>
        <w:spacing w:line="480" w:lineRule="auto"/>
        <w:jc w:val="both"/>
        <w:rPr>
          <w:rFonts w:hint="cs"/>
          <w:rtl/>
        </w:rPr>
      </w:pPr>
      <w:r>
        <w:rPr>
          <w:rFonts w:hint="cs"/>
          <w:rtl/>
        </w:rPr>
        <w:t xml:space="preserve">להלן עקרונות היסוד המנחים: </w:t>
      </w:r>
    </w:p>
    <w:p w:rsidR="0027640A" w:rsidRDefault="0027640A" w:rsidP="0027640A">
      <w:pPr>
        <w:spacing w:line="480" w:lineRule="auto"/>
        <w:jc w:val="both"/>
        <w:rPr>
          <w:rFonts w:hint="cs"/>
          <w:rtl/>
        </w:rPr>
      </w:pPr>
      <w:r>
        <w:rPr>
          <w:rFonts w:hint="cs"/>
          <w:rtl/>
        </w:rPr>
        <w:t xml:space="preserve">1. עקרון חוקיות המנהל ועקרון הסמכות המנהלית </w:t>
      </w:r>
      <w:r>
        <w:rPr>
          <w:rtl/>
        </w:rPr>
        <w:t>–</w:t>
      </w:r>
      <w:r>
        <w:rPr>
          <w:rFonts w:hint="cs"/>
          <w:rtl/>
        </w:rPr>
        <w:t xml:space="preserve"> יפורט להלן.</w:t>
      </w:r>
    </w:p>
    <w:p w:rsidR="0027640A" w:rsidRDefault="0027640A" w:rsidP="0027640A">
      <w:pPr>
        <w:spacing w:line="480" w:lineRule="auto"/>
        <w:jc w:val="both"/>
        <w:rPr>
          <w:rFonts w:hint="cs"/>
          <w:rtl/>
        </w:rPr>
      </w:pPr>
      <w:r>
        <w:rPr>
          <w:rFonts w:hint="cs"/>
          <w:rtl/>
        </w:rPr>
        <w:t xml:space="preserve">2. כלל ההסדרים הראשוניים </w:t>
      </w:r>
      <w:r>
        <w:rPr>
          <w:rtl/>
        </w:rPr>
        <w:t>–</w:t>
      </w:r>
      <w:r>
        <w:rPr>
          <w:rFonts w:hint="cs"/>
          <w:rtl/>
        </w:rPr>
        <w:t xml:space="preserve"> קובע כי המנהל יכול לפעול רק במסגרת הסדרים משניים ולא יכול לקבוע הסדרים ראשוניים.</w:t>
      </w:r>
    </w:p>
    <w:p w:rsidR="0027640A" w:rsidRDefault="0027640A" w:rsidP="0027640A">
      <w:pPr>
        <w:spacing w:line="480" w:lineRule="auto"/>
        <w:jc w:val="both"/>
        <w:rPr>
          <w:rFonts w:hint="cs"/>
          <w:rtl/>
        </w:rPr>
      </w:pPr>
      <w:r>
        <w:rPr>
          <w:rFonts w:hint="cs"/>
          <w:rtl/>
        </w:rPr>
        <w:t xml:space="preserve">3. המנהל כנאמן הציבור </w:t>
      </w:r>
      <w:r>
        <w:rPr>
          <w:rtl/>
        </w:rPr>
        <w:t>–</w:t>
      </w:r>
      <w:r>
        <w:rPr>
          <w:rFonts w:hint="cs"/>
          <w:rtl/>
        </w:rPr>
        <w:t xml:space="preserve"> קובע כי כל פעולה של המנהל צריכה להיות מוצדקת ולגיטימית בהקשר של טובת ורווחת הציבור. עקרון זה מבטיח כי המעשה המנהלי יבדק לאור חובת הנאמנות של המנהל לציבור, ולא תהיה לו הצדקה באם נעשה רק לתועלתו האישית של המנהל. </w:t>
      </w:r>
    </w:p>
    <w:p w:rsidR="0027640A" w:rsidRDefault="0027640A" w:rsidP="0027640A">
      <w:pPr>
        <w:spacing w:line="480" w:lineRule="auto"/>
        <w:jc w:val="both"/>
        <w:rPr>
          <w:rFonts w:hint="cs"/>
          <w:rtl/>
        </w:rPr>
      </w:pPr>
    </w:p>
    <w:p w:rsidR="0027640A" w:rsidRDefault="0027640A" w:rsidP="0027640A">
      <w:pPr>
        <w:spacing w:line="480" w:lineRule="auto"/>
        <w:jc w:val="both"/>
        <w:rPr>
          <w:rFonts w:hint="cs"/>
          <w:rtl/>
        </w:rPr>
      </w:pPr>
      <w:r w:rsidRPr="0002359E">
        <w:rPr>
          <w:rFonts w:hint="cs"/>
          <w:rtl/>
        </w:rPr>
        <w:lastRenderedPageBreak/>
        <w:t>נבחן את הוראות החשב הכללי לפי כללים אלו.</w:t>
      </w:r>
      <w:r>
        <w:rPr>
          <w:rFonts w:hint="cs"/>
          <w:rtl/>
        </w:rPr>
        <w:t xml:space="preserve"> </w:t>
      </w:r>
    </w:p>
    <w:p w:rsidR="0027640A" w:rsidRDefault="0027640A" w:rsidP="0027640A">
      <w:pPr>
        <w:spacing w:line="480" w:lineRule="auto"/>
        <w:jc w:val="both"/>
        <w:rPr>
          <w:rFonts w:hint="cs"/>
          <w:rtl/>
        </w:rPr>
      </w:pPr>
      <w:r>
        <w:rPr>
          <w:rFonts w:hint="cs"/>
          <w:rtl/>
        </w:rPr>
        <w:t>כיוון שבמקרה זה לא נקבע כלל מסדר ראשון וכן לא נראית פגיעה בחובת הנאמנות של המנהל כלפי הציבור, הרי שיש לבחון את העקרון הראשון.</w:t>
      </w:r>
    </w:p>
    <w:p w:rsidR="00C82F41" w:rsidRDefault="0027640A" w:rsidP="00E84146">
      <w:pPr>
        <w:pStyle w:val="3"/>
        <w:rPr>
          <w:rFonts w:hint="cs"/>
          <w:rtl/>
        </w:rPr>
      </w:pPr>
      <w:bookmarkStart w:id="6" w:name="_Toc144716259"/>
      <w:r w:rsidRPr="00F11058">
        <w:rPr>
          <w:rFonts w:hint="cs"/>
          <w:rtl/>
        </w:rPr>
        <w:t>עקרון חוקיות המינהל</w:t>
      </w:r>
      <w:bookmarkEnd w:id="6"/>
      <w:r>
        <w:rPr>
          <w:rFonts w:hint="cs"/>
          <w:rtl/>
        </w:rPr>
        <w:t xml:space="preserve"> </w:t>
      </w:r>
    </w:p>
    <w:p w:rsidR="0027640A" w:rsidRDefault="00C82F41" w:rsidP="0027640A">
      <w:pPr>
        <w:spacing w:line="480" w:lineRule="auto"/>
        <w:jc w:val="both"/>
        <w:rPr>
          <w:rFonts w:hint="cs"/>
          <w:rtl/>
        </w:rPr>
      </w:pPr>
      <w:r>
        <w:rPr>
          <w:rFonts w:hint="cs"/>
          <w:rtl/>
        </w:rPr>
        <w:t xml:space="preserve">עקרון חוקיות המנהל </w:t>
      </w:r>
      <w:r w:rsidR="0027640A">
        <w:rPr>
          <w:rtl/>
        </w:rPr>
        <w:t>קובע כי רשות מנהלית רשאית לפעול אך ורק על פי הסמכויות שהעניק לה הדין</w:t>
      </w:r>
      <w:r w:rsidR="0027640A">
        <w:rPr>
          <w:rFonts w:hint="cs"/>
          <w:rtl/>
        </w:rPr>
        <w:t>: "</w:t>
      </w:r>
      <w:r w:rsidR="0027640A">
        <w:rPr>
          <w:rtl/>
        </w:rPr>
        <w:t>עקרון החוקיות דורש כי לגבי כל פעולה מינהלית ניתן יהיה להצביע על מקור סמכות הקבוע בחוק או מכוח החוק: הדין מוליד את הסמכות ובהעדר דין מסמיך משוללת פעולת הרשות סמכות ואין לה תוקף"</w:t>
      </w:r>
      <w:r w:rsidR="0027640A">
        <w:rPr>
          <w:rStyle w:val="a4"/>
          <w:rtl/>
        </w:rPr>
        <w:footnoteReference w:id="6"/>
      </w:r>
    </w:p>
    <w:p w:rsidR="0027640A" w:rsidRDefault="0027640A" w:rsidP="0027640A">
      <w:pPr>
        <w:spacing w:line="480" w:lineRule="auto"/>
        <w:jc w:val="both"/>
        <w:rPr>
          <w:rFonts w:hint="cs"/>
          <w:rtl/>
        </w:rPr>
      </w:pPr>
      <w:r>
        <w:rPr>
          <w:rFonts w:hint="eastAsia"/>
          <w:rtl/>
        </w:rPr>
        <w:t>בית</w:t>
      </w:r>
      <w:r>
        <w:rPr>
          <w:rtl/>
        </w:rPr>
        <w:t xml:space="preserve"> המשפט, </w:t>
      </w:r>
      <w:r>
        <w:rPr>
          <w:rFonts w:hint="eastAsia"/>
          <w:rtl/>
        </w:rPr>
        <w:t>שהכ</w:t>
      </w:r>
      <w:r>
        <w:rPr>
          <w:rFonts w:hint="cs"/>
          <w:rtl/>
        </w:rPr>
        <w:t>י</w:t>
      </w:r>
      <w:r>
        <w:rPr>
          <w:rFonts w:hint="eastAsia"/>
          <w:rtl/>
        </w:rPr>
        <w:t>ר</w:t>
      </w:r>
      <w:r>
        <w:rPr>
          <w:rtl/>
        </w:rPr>
        <w:t xml:space="preserve"> ביתרונות של ההנחיות, פסק כי מותר לרשות מנהלית, אף בהעדר אסמכתא בחוק, לקבוע </w:t>
      </w:r>
      <w:r>
        <w:rPr>
          <w:rFonts w:hint="eastAsia"/>
          <w:rtl/>
        </w:rPr>
        <w:t>הנחיות</w:t>
      </w:r>
      <w:r>
        <w:rPr>
          <w:rtl/>
        </w:rPr>
        <w:t xml:space="preserve"> שידריכו אותה במילוי תפקידה</w:t>
      </w:r>
      <w:r>
        <w:rPr>
          <w:rStyle w:val="a4"/>
          <w:rtl/>
        </w:rPr>
        <w:footnoteReference w:id="7"/>
      </w:r>
      <w:r>
        <w:rPr>
          <w:rFonts w:hint="cs"/>
          <w:rtl/>
        </w:rPr>
        <w:t xml:space="preserve"> . כלומר באופן עקרוני מותר לחשב הכללי לקבוע הוראות שידריכו את הרשות במתן החזר הוצאות רכב, אך זאת בתנאי שישנה סמכות כללית שמכשירה אותו לעסוק בעניין תנאי עבודה/שכר וכד' .</w:t>
      </w:r>
    </w:p>
    <w:p w:rsidR="0027640A" w:rsidRDefault="0027640A" w:rsidP="0027640A">
      <w:pPr>
        <w:spacing w:line="480" w:lineRule="auto"/>
        <w:jc w:val="both"/>
        <w:rPr>
          <w:rFonts w:hint="cs"/>
          <w:rtl/>
        </w:rPr>
      </w:pPr>
    </w:p>
    <w:p w:rsidR="0027640A" w:rsidRDefault="0027640A" w:rsidP="0027640A">
      <w:pPr>
        <w:spacing w:line="480" w:lineRule="auto"/>
        <w:jc w:val="both"/>
        <w:rPr>
          <w:rFonts w:hint="cs"/>
        </w:rPr>
      </w:pPr>
      <w:r>
        <w:rPr>
          <w:rFonts w:hint="cs"/>
          <w:rtl/>
        </w:rPr>
        <w:t>עתה יש להדרש לשאלה: האם במקרה דנן קיימת סמכות (בין אם כללית או פרטנית) לחשב הכללי לתקן הנחיה בנושא הטבות לעובדים או בנושא משכורתם?</w:t>
      </w:r>
    </w:p>
    <w:p w:rsidR="0027640A" w:rsidRDefault="0027640A" w:rsidP="0027640A">
      <w:pPr>
        <w:spacing w:line="480" w:lineRule="auto"/>
        <w:jc w:val="both"/>
        <w:rPr>
          <w:rFonts w:hint="cs"/>
          <w:rtl/>
        </w:rPr>
      </w:pPr>
      <w:r>
        <w:rPr>
          <w:rFonts w:hint="cs"/>
          <w:rtl/>
        </w:rPr>
        <w:t>סע' 50(א)(3) לחוק יסודות התקציב</w:t>
      </w:r>
      <w:r>
        <w:rPr>
          <w:rStyle w:val="a4"/>
          <w:rtl/>
        </w:rPr>
        <w:footnoteReference w:id="8"/>
      </w:r>
      <w:r>
        <w:rPr>
          <w:rFonts w:hint="cs"/>
          <w:rtl/>
        </w:rPr>
        <w:t xml:space="preserve">  מעניק את הסמכות האמורה לשר האוצר:</w:t>
      </w:r>
    </w:p>
    <w:p w:rsidR="0027640A" w:rsidRPr="00171FE6" w:rsidRDefault="0027640A" w:rsidP="0027640A">
      <w:pPr>
        <w:spacing w:line="480" w:lineRule="auto"/>
        <w:ind w:firstLine="720"/>
        <w:jc w:val="both"/>
        <w:rPr>
          <w:i/>
          <w:iCs/>
          <w:rtl/>
        </w:rPr>
      </w:pPr>
      <w:r w:rsidRPr="00171FE6">
        <w:rPr>
          <w:rFonts w:hint="cs"/>
          <w:i/>
          <w:iCs/>
          <w:rtl/>
        </w:rPr>
        <w:t>50</w:t>
      </w:r>
      <w:r w:rsidRPr="00171FE6">
        <w:rPr>
          <w:i/>
          <w:iCs/>
          <w:rtl/>
        </w:rPr>
        <w:t xml:space="preserve">. ביצוע, תקנות ואצילת סמכויות </w:t>
      </w:r>
    </w:p>
    <w:p w:rsidR="0027640A" w:rsidRPr="00171FE6" w:rsidRDefault="0027640A" w:rsidP="0027640A">
      <w:pPr>
        <w:spacing w:line="480" w:lineRule="auto"/>
        <w:ind w:left="720" w:right="720"/>
        <w:jc w:val="both"/>
        <w:rPr>
          <w:rFonts w:hint="cs"/>
          <w:i/>
          <w:iCs/>
          <w:rtl/>
        </w:rPr>
      </w:pPr>
      <w:r w:rsidRPr="00171FE6">
        <w:rPr>
          <w:i/>
          <w:iCs/>
          <w:rtl/>
        </w:rPr>
        <w:t>(א) שר האוצר ממונה על ביצוע חוק זה והוא רשאי להתקין תקנות והוראות מינהל בכל הנוגע לביצועו, לרבות בדבר -</w:t>
      </w:r>
    </w:p>
    <w:p w:rsidR="0027640A" w:rsidRPr="00171FE6" w:rsidRDefault="0027640A" w:rsidP="0027640A">
      <w:pPr>
        <w:spacing w:line="480" w:lineRule="auto"/>
        <w:ind w:left="720" w:right="720"/>
        <w:jc w:val="both"/>
        <w:rPr>
          <w:rFonts w:hint="cs"/>
          <w:i/>
          <w:iCs/>
          <w:rtl/>
        </w:rPr>
      </w:pPr>
      <w:r w:rsidRPr="00171FE6">
        <w:rPr>
          <w:i/>
          <w:iCs/>
          <w:rtl/>
        </w:rPr>
        <w:t>(3) ביצוע החלטות הממשלה בדבר המדיניות הכלכלית ומדיניות השכר וכוח האדם שלה, ככל שיש להן השלכה על התקציב ;</w:t>
      </w:r>
      <w:r w:rsidRPr="00171FE6">
        <w:rPr>
          <w:rFonts w:hint="cs"/>
          <w:i/>
          <w:iCs/>
          <w:rtl/>
        </w:rPr>
        <w:t xml:space="preserve"> </w:t>
      </w:r>
    </w:p>
    <w:p w:rsidR="0027640A" w:rsidRPr="00BD0FCE" w:rsidRDefault="0027640A" w:rsidP="0027640A">
      <w:pPr>
        <w:spacing w:line="480" w:lineRule="auto"/>
        <w:jc w:val="both"/>
        <w:rPr>
          <w:rFonts w:hint="cs"/>
          <w:sz w:val="24"/>
          <w:rtl/>
        </w:rPr>
      </w:pPr>
      <w:r>
        <w:rPr>
          <w:rFonts w:hint="cs"/>
          <w:sz w:val="24"/>
          <w:rtl/>
        </w:rPr>
        <w:t xml:space="preserve">סעיף 50(ד) לחוק זה מאפשר לשר האוצר לאצול מסמכותו זו. משמעות הדבר היא כי במקביל להיות שר האוצר בעל הסמכות בעניין האמור, הרי שמעת ההאצלה הופך הנאצל גם הוא לבעל סמכות כחוק, ומרגע זה הן לאוצל והן לנאצל הסמכות המלאה לפעול בנדון. </w:t>
      </w:r>
    </w:p>
    <w:p w:rsidR="0027640A" w:rsidRPr="00171FE6" w:rsidRDefault="0027640A" w:rsidP="0027640A">
      <w:pPr>
        <w:spacing w:line="480" w:lineRule="auto"/>
        <w:ind w:firstLine="720"/>
        <w:jc w:val="both"/>
        <w:rPr>
          <w:rFonts w:hint="cs"/>
          <w:i/>
          <w:iCs/>
          <w:sz w:val="24"/>
          <w:rtl/>
        </w:rPr>
      </w:pPr>
      <w:r w:rsidRPr="00171FE6">
        <w:rPr>
          <w:i/>
          <w:iCs/>
          <w:sz w:val="24"/>
          <w:rtl/>
        </w:rPr>
        <w:t>(ד</w:t>
      </w:r>
      <w:r w:rsidRPr="00171FE6">
        <w:rPr>
          <w:rFonts w:hint="cs"/>
          <w:i/>
          <w:iCs/>
          <w:sz w:val="24"/>
          <w:rtl/>
        </w:rPr>
        <w:t>)</w:t>
      </w:r>
      <w:r w:rsidRPr="00171FE6">
        <w:rPr>
          <w:i/>
          <w:iCs/>
          <w:sz w:val="24"/>
          <w:rtl/>
        </w:rPr>
        <w:t xml:space="preserve"> שר האוצר רשאי לאצול מסמכויותיו לפי חוק זה, לרבות הסמכות להתקין </w:t>
      </w:r>
    </w:p>
    <w:p w:rsidR="0027640A" w:rsidRPr="00171FE6" w:rsidRDefault="0027640A" w:rsidP="0027640A">
      <w:pPr>
        <w:spacing w:line="480" w:lineRule="auto"/>
        <w:ind w:firstLine="720"/>
        <w:jc w:val="both"/>
        <w:rPr>
          <w:rFonts w:hint="cs"/>
          <w:i/>
          <w:iCs/>
          <w:sz w:val="24"/>
          <w:rtl/>
        </w:rPr>
      </w:pPr>
      <w:r w:rsidRPr="00171FE6">
        <w:rPr>
          <w:i/>
          <w:iCs/>
          <w:sz w:val="24"/>
          <w:rtl/>
        </w:rPr>
        <w:t xml:space="preserve">הוראות מינהל אך למעט הסמכות להתקין תקנות. </w:t>
      </w:r>
    </w:p>
    <w:p w:rsidR="0027640A" w:rsidRPr="00F759C3" w:rsidRDefault="0027640A" w:rsidP="0027640A">
      <w:pPr>
        <w:spacing w:line="480" w:lineRule="auto"/>
        <w:ind w:firstLine="720"/>
        <w:jc w:val="both"/>
        <w:rPr>
          <w:rFonts w:hint="cs"/>
          <w:b/>
          <w:bCs/>
          <w:sz w:val="24"/>
          <w:rtl/>
        </w:rPr>
      </w:pPr>
    </w:p>
    <w:p w:rsidR="0027640A" w:rsidRDefault="0027640A" w:rsidP="0027640A">
      <w:pPr>
        <w:spacing w:line="480" w:lineRule="auto"/>
        <w:jc w:val="both"/>
        <w:rPr>
          <w:rFonts w:hint="cs"/>
          <w:sz w:val="24"/>
          <w:rtl/>
        </w:rPr>
      </w:pPr>
      <w:r>
        <w:rPr>
          <w:rFonts w:hint="cs"/>
          <w:sz w:val="24"/>
          <w:rtl/>
        </w:rPr>
        <w:t>סעיפים 5-6 לחוק נכסי המדינה</w:t>
      </w:r>
      <w:r>
        <w:rPr>
          <w:rStyle w:val="a4"/>
          <w:sz w:val="24"/>
          <w:rtl/>
        </w:rPr>
        <w:footnoteReference w:id="9"/>
      </w:r>
      <w:r>
        <w:rPr>
          <w:rFonts w:hint="cs"/>
          <w:sz w:val="24"/>
          <w:rtl/>
        </w:rPr>
        <w:t xml:space="preserve"> מעניקים גם הם את הסמכות האמורה לשר האוצר:</w:t>
      </w:r>
    </w:p>
    <w:p w:rsidR="0027640A" w:rsidRPr="00171FE6" w:rsidRDefault="0027640A" w:rsidP="0027640A">
      <w:pPr>
        <w:spacing w:line="480" w:lineRule="auto"/>
        <w:ind w:left="1440"/>
        <w:jc w:val="both"/>
        <w:rPr>
          <w:rFonts w:hint="cs"/>
          <w:i/>
          <w:iCs/>
          <w:sz w:val="24"/>
          <w:rtl/>
        </w:rPr>
      </w:pPr>
      <w:r w:rsidRPr="00171FE6">
        <w:rPr>
          <w:i/>
          <w:iCs/>
          <w:sz w:val="24"/>
          <w:rtl/>
        </w:rPr>
        <w:t xml:space="preserve">5. עסקות בנכסי מדינה </w:t>
      </w:r>
    </w:p>
    <w:p w:rsidR="0027640A" w:rsidRPr="00171FE6" w:rsidRDefault="0027640A" w:rsidP="0027640A">
      <w:pPr>
        <w:spacing w:line="480" w:lineRule="auto"/>
        <w:ind w:left="1440"/>
        <w:jc w:val="both"/>
        <w:rPr>
          <w:rFonts w:hint="cs"/>
          <w:i/>
          <w:iCs/>
          <w:sz w:val="24"/>
          <w:rtl/>
        </w:rPr>
      </w:pPr>
      <w:r w:rsidRPr="00171FE6">
        <w:rPr>
          <w:i/>
          <w:iCs/>
          <w:sz w:val="24"/>
          <w:rtl/>
        </w:rPr>
        <w:t xml:space="preserve">(א) </w:t>
      </w:r>
      <w:r w:rsidRPr="00171FE6">
        <w:rPr>
          <w:rFonts w:hint="cs"/>
          <w:i/>
          <w:iCs/>
          <w:sz w:val="24"/>
          <w:rtl/>
        </w:rPr>
        <w:t xml:space="preserve">... </w:t>
      </w:r>
      <w:r w:rsidRPr="00171FE6">
        <w:rPr>
          <w:i/>
          <w:iCs/>
          <w:sz w:val="24"/>
          <w:rtl/>
        </w:rPr>
        <w:t xml:space="preserve">רשאית הממשלה בשם המדינה, למכור נכסים מנכסי המדינה </w:t>
      </w:r>
      <w:r w:rsidRPr="00171FE6">
        <w:rPr>
          <w:rFonts w:hint="cs"/>
          <w:i/>
          <w:iCs/>
          <w:sz w:val="24"/>
          <w:rtl/>
        </w:rPr>
        <w:t>...</w:t>
      </w:r>
      <w:r w:rsidRPr="00171FE6">
        <w:rPr>
          <w:i/>
          <w:iCs/>
          <w:sz w:val="24"/>
          <w:rtl/>
        </w:rPr>
        <w:t xml:space="preserve"> להעבירם בדרך אחרת, להשכירם, להחכירם, להחליפם, לשעבדם, לחלקם, להפרידם, לאחדם, להרשות את השימוש בהם או את ניצולם, ולהעניק זכויות אחרות בהם, הכל בתנאים שתראם נאותים. </w:t>
      </w:r>
    </w:p>
    <w:p w:rsidR="0027640A" w:rsidRPr="00171FE6" w:rsidRDefault="0027640A" w:rsidP="0027640A">
      <w:pPr>
        <w:spacing w:line="480" w:lineRule="auto"/>
        <w:ind w:left="1440"/>
        <w:jc w:val="both"/>
        <w:rPr>
          <w:i/>
          <w:iCs/>
          <w:sz w:val="24"/>
          <w:rtl/>
        </w:rPr>
      </w:pPr>
      <w:r w:rsidRPr="00171FE6">
        <w:rPr>
          <w:i/>
          <w:iCs/>
          <w:sz w:val="24"/>
          <w:rtl/>
        </w:rPr>
        <w:t xml:space="preserve">6. ייצוג הממשלה בעסקות </w:t>
      </w:r>
    </w:p>
    <w:p w:rsidR="0027640A" w:rsidRPr="00171FE6" w:rsidRDefault="0027640A" w:rsidP="0027640A">
      <w:pPr>
        <w:spacing w:line="480" w:lineRule="auto"/>
        <w:ind w:left="1440"/>
        <w:jc w:val="both"/>
        <w:rPr>
          <w:i/>
          <w:iCs/>
          <w:sz w:val="24"/>
          <w:rtl/>
        </w:rPr>
      </w:pPr>
      <w:r w:rsidRPr="00171FE6">
        <w:rPr>
          <w:i/>
          <w:iCs/>
          <w:sz w:val="24"/>
          <w:rtl/>
        </w:rPr>
        <w:t>(א) ואלה רשאים לייצג את הממשלה בעיסקות שמדובר בהן בסעיף 4 או 5 ולחתום בשם המדינה על מסמכים הנוגעים אליהן:</w:t>
      </w:r>
    </w:p>
    <w:p w:rsidR="0027640A" w:rsidRPr="00171FE6" w:rsidRDefault="0027640A" w:rsidP="0027640A">
      <w:pPr>
        <w:spacing w:line="480" w:lineRule="auto"/>
        <w:ind w:left="1440"/>
        <w:jc w:val="both"/>
        <w:rPr>
          <w:i/>
          <w:iCs/>
          <w:sz w:val="24"/>
          <w:rtl/>
        </w:rPr>
      </w:pPr>
      <w:r w:rsidRPr="00171FE6">
        <w:rPr>
          <w:i/>
          <w:iCs/>
          <w:sz w:val="24"/>
          <w:rtl/>
        </w:rPr>
        <w:t>(1) שר האוצר;</w:t>
      </w:r>
    </w:p>
    <w:p w:rsidR="0027640A" w:rsidRDefault="0027640A" w:rsidP="0027640A">
      <w:pPr>
        <w:spacing w:line="480" w:lineRule="auto"/>
        <w:jc w:val="both"/>
        <w:rPr>
          <w:rFonts w:hint="cs"/>
          <w:sz w:val="24"/>
          <w:rtl/>
        </w:rPr>
      </w:pPr>
      <w:r>
        <w:rPr>
          <w:rFonts w:hint="cs"/>
          <w:sz w:val="24"/>
          <w:rtl/>
        </w:rPr>
        <w:t>בסעיף 1 לחוק זה, סעיף ההגדרות, מוגדר "נכס" ככולל "</w:t>
      </w:r>
      <w:r w:rsidRPr="00EB3B71">
        <w:rPr>
          <w:sz w:val="24"/>
          <w:rtl/>
        </w:rPr>
        <w:t>מקרקעים ומיטלטלים, וכן זכויות וטובות-הנאה מכל סוג שהוא</w:t>
      </w:r>
      <w:r>
        <w:rPr>
          <w:rFonts w:hint="cs"/>
          <w:sz w:val="24"/>
          <w:rtl/>
        </w:rPr>
        <w:t>". במקרה דנן הנכס המדובר הינו הכסף המשמש להחזר הוצאות הרכב. דהיינו, חוק זה מסמיך את שר האוצר לייצג את הממשלה בכל הנוגע להענקת הכסף.</w:t>
      </w:r>
    </w:p>
    <w:p w:rsidR="0027640A" w:rsidRPr="00EB3B71" w:rsidRDefault="0027640A" w:rsidP="0027640A">
      <w:pPr>
        <w:spacing w:line="480" w:lineRule="auto"/>
        <w:jc w:val="both"/>
        <w:rPr>
          <w:rFonts w:hint="cs"/>
          <w:sz w:val="24"/>
          <w:rtl/>
        </w:rPr>
      </w:pPr>
      <w:r>
        <w:rPr>
          <w:rFonts w:hint="cs"/>
          <w:sz w:val="24"/>
          <w:rtl/>
        </w:rPr>
        <w:t xml:space="preserve">כעת יש לבחון האם בנוסף לשר האוצר, קיימת בענייננו סמכות לחשב הכללי. </w:t>
      </w:r>
    </w:p>
    <w:p w:rsidR="0027640A" w:rsidRDefault="0027640A" w:rsidP="001E2D62">
      <w:pPr>
        <w:spacing w:line="480" w:lineRule="auto"/>
        <w:jc w:val="both"/>
        <w:rPr>
          <w:rFonts w:hint="cs"/>
          <w:sz w:val="24"/>
          <w:rtl/>
        </w:rPr>
      </w:pPr>
      <w:r>
        <w:rPr>
          <w:rFonts w:hint="cs"/>
          <w:sz w:val="24"/>
          <w:rtl/>
        </w:rPr>
        <w:t>החשב הכללי הינו אגף במשרד האוצר, הכפוף נורמטיבית לשר האוצר. סעיף 33(ב) לחוק יסוד:הממשלה</w:t>
      </w:r>
      <w:r>
        <w:rPr>
          <w:rStyle w:val="a4"/>
          <w:sz w:val="24"/>
          <w:rtl/>
        </w:rPr>
        <w:footnoteReference w:id="10"/>
      </w:r>
      <w:r>
        <w:rPr>
          <w:rFonts w:hint="cs"/>
          <w:sz w:val="24"/>
          <w:rtl/>
        </w:rPr>
        <w:t xml:space="preserve"> מאפשר לשר לאצול מסמכותו לעובד ציבור.</w:t>
      </w:r>
      <w:r w:rsidR="001E2D62">
        <w:rPr>
          <w:rFonts w:hint="cs"/>
          <w:sz w:val="24"/>
          <w:rtl/>
        </w:rPr>
        <w:t xml:space="preserve"> החשב הכללי הינו עובד ציבור, ולכן לשר האוצר יש סמכות לאצול מסמכותו עליו. </w:t>
      </w:r>
      <w:r>
        <w:rPr>
          <w:rFonts w:hint="cs"/>
          <w:sz w:val="24"/>
          <w:rtl/>
        </w:rPr>
        <w:t xml:space="preserve">משמעות האצילה היא כי מעתה לא רק השר הוא בעל הסמכות האמורה, אלא במקביל אף לנאצל </w:t>
      </w:r>
      <w:r>
        <w:rPr>
          <w:sz w:val="24"/>
          <w:rtl/>
        </w:rPr>
        <w:t>–</w:t>
      </w:r>
      <w:r>
        <w:rPr>
          <w:rFonts w:hint="cs"/>
          <w:sz w:val="24"/>
          <w:rtl/>
        </w:rPr>
        <w:t xml:space="preserve"> החשב הכללי - יש סמכות מלאה.</w:t>
      </w:r>
    </w:p>
    <w:p w:rsidR="0027640A" w:rsidRDefault="0027640A" w:rsidP="0027640A">
      <w:pPr>
        <w:spacing w:line="480" w:lineRule="auto"/>
        <w:jc w:val="both"/>
        <w:rPr>
          <w:rFonts w:hint="cs"/>
          <w:sz w:val="24"/>
          <w:rtl/>
        </w:rPr>
      </w:pPr>
      <w:r>
        <w:rPr>
          <w:rFonts w:hint="cs"/>
          <w:sz w:val="24"/>
          <w:rtl/>
        </w:rPr>
        <w:t>כעת יש להדרש לשאלה: האם אכן בפועל נעשתה אצילת הסמכויות?</w:t>
      </w:r>
    </w:p>
    <w:p w:rsidR="008B023C" w:rsidRDefault="00FA580C" w:rsidP="00FA580C">
      <w:pPr>
        <w:spacing w:line="480" w:lineRule="auto"/>
        <w:jc w:val="both"/>
        <w:rPr>
          <w:rFonts w:hint="cs"/>
          <w:sz w:val="24"/>
          <w:rtl/>
        </w:rPr>
      </w:pPr>
      <w:r>
        <w:rPr>
          <w:rFonts w:hint="cs"/>
          <w:sz w:val="24"/>
          <w:rtl/>
        </w:rPr>
        <w:t>סעיף 10(ב)(12) ל</w:t>
      </w:r>
      <w:r w:rsidR="008B023C">
        <w:rPr>
          <w:rFonts w:hint="cs"/>
          <w:sz w:val="24"/>
          <w:rtl/>
        </w:rPr>
        <w:t xml:space="preserve">חוק </w:t>
      </w:r>
      <w:r>
        <w:rPr>
          <w:rFonts w:hint="cs"/>
          <w:sz w:val="24"/>
          <w:rtl/>
        </w:rPr>
        <w:t>הממשלה</w:t>
      </w:r>
      <w:r>
        <w:rPr>
          <w:rStyle w:val="a4"/>
          <w:sz w:val="24"/>
          <w:rtl/>
        </w:rPr>
        <w:footnoteReference w:id="11"/>
      </w:r>
      <w:r w:rsidR="008B023C">
        <w:rPr>
          <w:rFonts w:hint="cs"/>
          <w:sz w:val="24"/>
          <w:rtl/>
        </w:rPr>
        <w:t xml:space="preserve"> קובע כי</w:t>
      </w:r>
      <w:r>
        <w:rPr>
          <w:rFonts w:hint="cs"/>
          <w:sz w:val="24"/>
          <w:rtl/>
        </w:rPr>
        <w:t xml:space="preserve"> יש לפרסם</w:t>
      </w:r>
      <w:r w:rsidR="008B023C">
        <w:rPr>
          <w:rFonts w:hint="cs"/>
          <w:sz w:val="24"/>
          <w:rtl/>
        </w:rPr>
        <w:t xml:space="preserve"> אצילת סמכויות </w:t>
      </w:r>
      <w:r>
        <w:rPr>
          <w:rFonts w:hint="cs"/>
          <w:sz w:val="24"/>
          <w:rtl/>
        </w:rPr>
        <w:t>ברשומות</w:t>
      </w:r>
      <w:r w:rsidR="008B023C">
        <w:rPr>
          <w:rFonts w:hint="cs"/>
          <w:sz w:val="24"/>
          <w:rtl/>
        </w:rPr>
        <w:t>. ניתן להניח כי שר האוצר אכן האציל מסמכותו לחשב הכללי, דבר המקנה לחשב הכללי סמכות להורות בשאלת החזר הוצאות ר</w:t>
      </w:r>
      <w:r w:rsidR="001E2D62">
        <w:rPr>
          <w:rFonts w:hint="cs"/>
          <w:sz w:val="24"/>
          <w:rtl/>
        </w:rPr>
        <w:t xml:space="preserve">כב, </w:t>
      </w:r>
      <w:r w:rsidR="001E2D62" w:rsidRPr="0080500F">
        <w:rPr>
          <w:rFonts w:hint="cs"/>
          <w:b/>
          <w:bCs/>
          <w:sz w:val="24"/>
          <w:rtl/>
        </w:rPr>
        <w:t xml:space="preserve">אולם </w:t>
      </w:r>
      <w:r w:rsidR="008B023C" w:rsidRPr="0080500F">
        <w:rPr>
          <w:rFonts w:hint="cs"/>
          <w:b/>
          <w:bCs/>
          <w:sz w:val="24"/>
          <w:rtl/>
        </w:rPr>
        <w:t>עיון וחיפוש נרחב</w:t>
      </w:r>
      <w:r w:rsidR="00051D95" w:rsidRPr="0080500F">
        <w:rPr>
          <w:rFonts w:hint="cs"/>
          <w:b/>
          <w:bCs/>
          <w:sz w:val="24"/>
          <w:rtl/>
        </w:rPr>
        <w:t xml:space="preserve"> ברשומות,</w:t>
      </w:r>
      <w:r w:rsidR="001E2D62" w:rsidRPr="0080500F">
        <w:rPr>
          <w:rFonts w:hint="cs"/>
          <w:b/>
          <w:bCs/>
          <w:sz w:val="24"/>
          <w:rtl/>
        </w:rPr>
        <w:t xml:space="preserve"> לא העלה פרסום של</w:t>
      </w:r>
      <w:r w:rsidR="008B023C" w:rsidRPr="0080500F">
        <w:rPr>
          <w:rFonts w:hint="cs"/>
          <w:b/>
          <w:bCs/>
          <w:sz w:val="24"/>
          <w:rtl/>
        </w:rPr>
        <w:t xml:space="preserve"> האצלה כאמור</w:t>
      </w:r>
      <w:r w:rsidR="008B023C">
        <w:rPr>
          <w:rFonts w:hint="cs"/>
          <w:sz w:val="24"/>
          <w:rtl/>
        </w:rPr>
        <w:t>.</w:t>
      </w:r>
    </w:p>
    <w:p w:rsidR="0027640A" w:rsidRDefault="0027640A" w:rsidP="0027640A">
      <w:pPr>
        <w:pStyle w:val="a3"/>
        <w:spacing w:line="480" w:lineRule="auto"/>
        <w:jc w:val="both"/>
        <w:rPr>
          <w:rFonts w:cs="David" w:hint="cs"/>
          <w:sz w:val="24"/>
          <w:szCs w:val="24"/>
          <w:rtl/>
        </w:rPr>
      </w:pPr>
      <w:r>
        <w:rPr>
          <w:rFonts w:ascii="Times New Roman" w:hAnsi="Times New Roman" w:cs="David" w:hint="cs"/>
          <w:sz w:val="24"/>
          <w:szCs w:val="24"/>
          <w:rtl/>
          <w:lang w:eastAsia="he-IL"/>
        </w:rPr>
        <w:t xml:space="preserve">ראוי לציין כי </w:t>
      </w:r>
      <w:r w:rsidR="008B023C">
        <w:rPr>
          <w:rFonts w:cs="David" w:hint="cs"/>
          <w:sz w:val="24"/>
          <w:szCs w:val="24"/>
          <w:rtl/>
        </w:rPr>
        <w:t>במידה ואכן</w:t>
      </w:r>
      <w:r>
        <w:rPr>
          <w:rFonts w:cs="David" w:hint="cs"/>
          <w:sz w:val="24"/>
          <w:szCs w:val="24"/>
          <w:rtl/>
        </w:rPr>
        <w:t xml:space="preserve"> קיימת בעיית סמכות, הרי שזו </w:t>
      </w:r>
      <w:r w:rsidR="0080500F">
        <w:rPr>
          <w:rFonts w:cs="David" w:hint="cs"/>
          <w:sz w:val="24"/>
          <w:szCs w:val="24"/>
          <w:rtl/>
        </w:rPr>
        <w:t xml:space="preserve">ניתנת לריפוי </w:t>
      </w:r>
      <w:r>
        <w:rPr>
          <w:rFonts w:cs="David" w:hint="cs"/>
          <w:sz w:val="24"/>
          <w:szCs w:val="24"/>
          <w:rtl/>
        </w:rPr>
        <w:t xml:space="preserve">ע"י שר האוצר, שביכולתו להקנות </w:t>
      </w:r>
      <w:r w:rsidR="0080500F">
        <w:rPr>
          <w:rFonts w:cs="David" w:hint="cs"/>
          <w:sz w:val="24"/>
          <w:szCs w:val="24"/>
          <w:rtl/>
        </w:rPr>
        <w:t xml:space="preserve">מעתה </w:t>
      </w:r>
      <w:r>
        <w:rPr>
          <w:rFonts w:cs="David" w:hint="cs"/>
          <w:sz w:val="24"/>
          <w:szCs w:val="24"/>
          <w:rtl/>
        </w:rPr>
        <w:t>סמכויות לחשב הכללי</w:t>
      </w:r>
      <w:r w:rsidR="008B023C">
        <w:rPr>
          <w:rFonts w:cs="David" w:hint="cs"/>
          <w:sz w:val="24"/>
          <w:szCs w:val="24"/>
          <w:rtl/>
        </w:rPr>
        <w:t xml:space="preserve"> באמצעות אצילת סמכויות</w:t>
      </w:r>
      <w:r>
        <w:rPr>
          <w:rFonts w:cs="David" w:hint="cs"/>
          <w:sz w:val="24"/>
          <w:szCs w:val="24"/>
          <w:rtl/>
        </w:rPr>
        <w:t>, כאמור לעיל.</w:t>
      </w:r>
    </w:p>
    <w:p w:rsidR="0027640A" w:rsidRDefault="0027640A" w:rsidP="0027640A">
      <w:pPr>
        <w:spacing w:line="480" w:lineRule="auto"/>
        <w:jc w:val="both"/>
        <w:rPr>
          <w:rFonts w:hint="cs"/>
          <w:u w:val="single"/>
          <w:rtl/>
        </w:rPr>
      </w:pPr>
    </w:p>
    <w:p w:rsidR="0027640A" w:rsidRPr="00F759C3" w:rsidRDefault="0027640A" w:rsidP="00E84146">
      <w:pPr>
        <w:pStyle w:val="2"/>
        <w:rPr>
          <w:rFonts w:hint="cs"/>
          <w:rtl/>
        </w:rPr>
      </w:pPr>
      <w:bookmarkStart w:id="7" w:name="_Toc144716260"/>
      <w:r w:rsidRPr="00F759C3">
        <w:rPr>
          <w:rFonts w:hint="cs"/>
          <w:rtl/>
        </w:rPr>
        <w:lastRenderedPageBreak/>
        <w:t xml:space="preserve">כללים </w:t>
      </w:r>
      <w:r>
        <w:rPr>
          <w:rFonts w:hint="cs"/>
          <w:rtl/>
        </w:rPr>
        <w:t>נוספים המחייבים את הרשות</w:t>
      </w:r>
      <w:bookmarkEnd w:id="7"/>
    </w:p>
    <w:p w:rsidR="0027640A" w:rsidRDefault="0027640A" w:rsidP="0027640A">
      <w:pPr>
        <w:spacing w:line="480" w:lineRule="auto"/>
        <w:jc w:val="both"/>
        <w:rPr>
          <w:rFonts w:hint="cs"/>
          <w:rtl/>
        </w:rPr>
      </w:pPr>
      <w:r>
        <w:rPr>
          <w:rFonts w:hint="cs"/>
          <w:rtl/>
        </w:rPr>
        <w:t xml:space="preserve">בנוסף לאמור לעיל, אף אם הרשות המנהלית פעלה בסמכות, עדיין היא מחויבת לכללי יסוד נוספים. </w:t>
      </w:r>
    </w:p>
    <w:p w:rsidR="0027640A" w:rsidRDefault="0027640A" w:rsidP="0027640A">
      <w:pPr>
        <w:spacing w:line="480" w:lineRule="auto"/>
        <w:jc w:val="both"/>
        <w:rPr>
          <w:rFonts w:hint="cs"/>
          <w:rtl/>
        </w:rPr>
      </w:pPr>
      <w:r>
        <w:rPr>
          <w:rFonts w:hint="cs"/>
          <w:rtl/>
        </w:rPr>
        <w:t>דהיינו, בבוא הרשו</w:t>
      </w:r>
      <w:r w:rsidR="00E84146">
        <w:rPr>
          <w:rFonts w:hint="cs"/>
          <w:rtl/>
        </w:rPr>
        <w:t xml:space="preserve">ת להפעיל את סמכותה, חלים עליה שתי מערכות של </w:t>
      </w:r>
      <w:r>
        <w:rPr>
          <w:rFonts w:hint="cs"/>
          <w:rtl/>
        </w:rPr>
        <w:t>כללים:</w:t>
      </w:r>
    </w:p>
    <w:p w:rsidR="0027640A" w:rsidRDefault="00E84146" w:rsidP="00E84146">
      <w:pPr>
        <w:spacing w:line="480" w:lineRule="auto"/>
        <w:jc w:val="both"/>
        <w:rPr>
          <w:rFonts w:hint="cs"/>
          <w:rtl/>
        </w:rPr>
      </w:pPr>
      <w:r>
        <w:rPr>
          <w:rFonts w:hint="cs"/>
          <w:b/>
          <w:bCs/>
          <w:u w:val="single"/>
          <w:rtl/>
        </w:rPr>
        <w:t xml:space="preserve">הראשונה, הינה </w:t>
      </w:r>
      <w:r w:rsidR="0027640A" w:rsidRPr="00296185">
        <w:rPr>
          <w:rFonts w:hint="cs"/>
          <w:b/>
          <w:bCs/>
          <w:u w:val="single"/>
          <w:rtl/>
        </w:rPr>
        <w:t>תנאים הכתובים בחוק המסמיך</w:t>
      </w:r>
      <w:r>
        <w:rPr>
          <w:rFonts w:hint="cs"/>
          <w:b/>
          <w:bCs/>
          <w:u w:val="single"/>
          <w:rtl/>
        </w:rPr>
        <w:t>.</w:t>
      </w:r>
      <w:r w:rsidR="0027640A">
        <w:rPr>
          <w:rFonts w:hint="cs"/>
          <w:rtl/>
        </w:rPr>
        <w:t xml:space="preserve"> כאשר החוק המסמיך מתנה תנאים, אזי הם הופכים להיות חלק מן הסמכות, וזו קיימת רק בהתקיימם. במקרה דנן לא קיים תנאי הקשור לעניינינו בחוק המסמיך, ולכן תנאי זה אינו רלוונטי. </w:t>
      </w:r>
    </w:p>
    <w:p w:rsidR="0027640A" w:rsidRDefault="00E84146" w:rsidP="0027640A">
      <w:pPr>
        <w:spacing w:line="480" w:lineRule="auto"/>
        <w:jc w:val="both"/>
        <w:rPr>
          <w:rFonts w:hint="cs"/>
          <w:rtl/>
        </w:rPr>
      </w:pPr>
      <w:r>
        <w:rPr>
          <w:rFonts w:hint="cs"/>
          <w:rtl/>
        </w:rPr>
        <w:t xml:space="preserve">המערכת </w:t>
      </w:r>
      <w:r w:rsidRPr="00481400">
        <w:rPr>
          <w:rFonts w:hint="cs"/>
          <w:b/>
          <w:bCs/>
          <w:u w:val="single"/>
          <w:rtl/>
        </w:rPr>
        <w:t>השניה</w:t>
      </w:r>
      <w:r>
        <w:rPr>
          <w:rFonts w:hint="cs"/>
          <w:rtl/>
        </w:rPr>
        <w:t xml:space="preserve">, והחשובה יותר לענייננו הינה </w:t>
      </w:r>
      <w:r w:rsidR="0027640A" w:rsidRPr="00296185">
        <w:rPr>
          <w:rFonts w:hint="cs"/>
          <w:b/>
          <w:bCs/>
          <w:u w:val="single"/>
          <w:rtl/>
        </w:rPr>
        <w:t>כללים</w:t>
      </w:r>
      <w:r w:rsidR="0027640A">
        <w:rPr>
          <w:rFonts w:hint="cs"/>
          <w:b/>
          <w:bCs/>
          <w:u w:val="single"/>
          <w:rtl/>
        </w:rPr>
        <w:t xml:space="preserve"> הכתובים בחוק הכללי, ופותחו</w:t>
      </w:r>
      <w:r w:rsidR="0027640A" w:rsidRPr="00296185">
        <w:rPr>
          <w:rFonts w:hint="cs"/>
          <w:b/>
          <w:bCs/>
          <w:u w:val="single"/>
          <w:rtl/>
        </w:rPr>
        <w:t xml:space="preserve"> </w:t>
      </w:r>
      <w:r w:rsidR="0027640A">
        <w:rPr>
          <w:rFonts w:hint="cs"/>
          <w:b/>
          <w:bCs/>
          <w:u w:val="single"/>
          <w:rtl/>
        </w:rPr>
        <w:t>על-ידי</w:t>
      </w:r>
      <w:r w:rsidR="0027640A" w:rsidRPr="00296185">
        <w:rPr>
          <w:rFonts w:hint="cs"/>
          <w:b/>
          <w:bCs/>
          <w:u w:val="single"/>
          <w:rtl/>
        </w:rPr>
        <w:t xml:space="preserve"> הפסיקה</w:t>
      </w:r>
      <w:r>
        <w:rPr>
          <w:rFonts w:hint="cs"/>
          <w:rtl/>
        </w:rPr>
        <w:t xml:space="preserve">. בינהם נמנה את הכללים הבאים: </w:t>
      </w:r>
    </w:p>
    <w:p w:rsidR="0027640A" w:rsidRDefault="0027640A" w:rsidP="00E84146">
      <w:pPr>
        <w:pStyle w:val="3"/>
        <w:rPr>
          <w:rFonts w:hint="cs"/>
          <w:rtl/>
        </w:rPr>
      </w:pPr>
      <w:bookmarkStart w:id="8" w:name="_Toc144716261"/>
      <w:r w:rsidRPr="00DF3A05">
        <w:rPr>
          <w:rFonts w:hint="eastAsia"/>
          <w:rtl/>
        </w:rPr>
        <w:t>א</w:t>
      </w:r>
      <w:r w:rsidRPr="00DF3A05">
        <w:rPr>
          <w:rtl/>
        </w:rPr>
        <w:t>.</w:t>
      </w:r>
      <w:r>
        <w:rPr>
          <w:rFonts w:hint="cs"/>
          <w:rtl/>
        </w:rPr>
        <w:t xml:space="preserve"> </w:t>
      </w:r>
      <w:r>
        <w:rPr>
          <w:rFonts w:hint="eastAsia"/>
          <w:rtl/>
        </w:rPr>
        <w:t>כיבוד</w:t>
      </w:r>
      <w:r>
        <w:rPr>
          <w:rtl/>
        </w:rPr>
        <w:t xml:space="preserve"> </w:t>
      </w:r>
      <w:r>
        <w:rPr>
          <w:rFonts w:hint="eastAsia"/>
          <w:rtl/>
        </w:rPr>
        <w:t>עקרונות</w:t>
      </w:r>
      <w:r>
        <w:rPr>
          <w:rtl/>
        </w:rPr>
        <w:t xml:space="preserve"> היסוד העומדים בבסיסם של חוקי היסוד-</w:t>
      </w:r>
      <w:bookmarkEnd w:id="8"/>
      <w:r>
        <w:rPr>
          <w:rtl/>
        </w:rPr>
        <w:t xml:space="preserve"> </w:t>
      </w:r>
    </w:p>
    <w:p w:rsidR="0027640A" w:rsidRDefault="0027640A" w:rsidP="0027640A">
      <w:pPr>
        <w:spacing w:line="480" w:lineRule="auto"/>
        <w:jc w:val="both"/>
        <w:rPr>
          <w:rFonts w:hint="cs"/>
          <w:rtl/>
        </w:rPr>
      </w:pPr>
      <w:r>
        <w:rPr>
          <w:rtl/>
        </w:rPr>
        <w:t xml:space="preserve">על המעשה המנהלי להתיישב עם </w:t>
      </w:r>
      <w:r>
        <w:rPr>
          <w:rFonts w:hint="eastAsia"/>
          <w:rtl/>
        </w:rPr>
        <w:t>הדרישה</w:t>
      </w:r>
      <w:r>
        <w:rPr>
          <w:rtl/>
        </w:rPr>
        <w:t xml:space="preserve"> לכבוד האדם, לשמירה על קניינו, גופו,חירותו, פרטיותו וחופש עיסוקו.</w:t>
      </w:r>
      <w:r>
        <w:rPr>
          <w:rFonts w:hint="cs"/>
          <w:rtl/>
        </w:rPr>
        <w:t xml:space="preserve">  </w:t>
      </w:r>
    </w:p>
    <w:p w:rsidR="00585CA9" w:rsidRDefault="0027640A" w:rsidP="00204A5A">
      <w:pPr>
        <w:spacing w:line="480" w:lineRule="auto"/>
        <w:jc w:val="both"/>
        <w:rPr>
          <w:rFonts w:hint="cs"/>
          <w:rtl/>
        </w:rPr>
      </w:pPr>
      <w:r>
        <w:rPr>
          <w:rFonts w:hint="cs"/>
          <w:rtl/>
        </w:rPr>
        <w:t xml:space="preserve">עקרון יסוד נוסף הוא בדמות </w:t>
      </w:r>
      <w:r w:rsidRPr="007F3DF2">
        <w:rPr>
          <w:rFonts w:hint="cs"/>
          <w:b/>
          <w:bCs/>
          <w:rtl/>
        </w:rPr>
        <w:t>זכות השוויון</w:t>
      </w:r>
      <w:r>
        <w:rPr>
          <w:rFonts w:hint="cs"/>
          <w:rtl/>
        </w:rPr>
        <w:t>,</w:t>
      </w:r>
      <w:r w:rsidR="00585CA9">
        <w:rPr>
          <w:rFonts w:hint="cs"/>
          <w:rtl/>
        </w:rPr>
        <w:t xml:space="preserve"> ובו עוסק פרק </w:t>
      </w:r>
      <w:r w:rsidR="00204A5A">
        <w:rPr>
          <w:rFonts w:hint="cs"/>
          <w:rtl/>
        </w:rPr>
        <w:t>ב</w:t>
      </w:r>
      <w:r w:rsidR="00585CA9">
        <w:rPr>
          <w:rFonts w:hint="cs"/>
          <w:rtl/>
        </w:rPr>
        <w:t>' להלן.</w:t>
      </w:r>
    </w:p>
    <w:p w:rsidR="0027640A" w:rsidRDefault="0027640A" w:rsidP="0027640A">
      <w:pPr>
        <w:spacing w:line="480" w:lineRule="auto"/>
        <w:jc w:val="both"/>
        <w:rPr>
          <w:rFonts w:hint="cs"/>
          <w:rtl/>
        </w:rPr>
      </w:pPr>
    </w:p>
    <w:p w:rsidR="0027640A" w:rsidRDefault="0027640A" w:rsidP="00E84146">
      <w:pPr>
        <w:pStyle w:val="3"/>
        <w:rPr>
          <w:rFonts w:hint="cs"/>
          <w:rtl/>
        </w:rPr>
      </w:pPr>
      <w:bookmarkStart w:id="9" w:name="_Toc144716262"/>
      <w:r w:rsidRPr="00DF3A05">
        <w:rPr>
          <w:rFonts w:hint="eastAsia"/>
          <w:rtl/>
        </w:rPr>
        <w:t>ב</w:t>
      </w:r>
      <w:r w:rsidRPr="00DF3A05">
        <w:rPr>
          <w:rtl/>
        </w:rPr>
        <w:t>.</w:t>
      </w:r>
      <w:r>
        <w:rPr>
          <w:rtl/>
        </w:rPr>
        <w:t xml:space="preserve"> </w:t>
      </w:r>
      <w:r>
        <w:rPr>
          <w:rFonts w:hint="eastAsia"/>
          <w:rtl/>
        </w:rPr>
        <w:t>סבירות</w:t>
      </w:r>
      <w:r>
        <w:rPr>
          <w:rtl/>
        </w:rPr>
        <w:t>-</w:t>
      </w:r>
      <w:bookmarkEnd w:id="9"/>
      <w:r>
        <w:rPr>
          <w:rtl/>
        </w:rPr>
        <w:t xml:space="preserve"> </w:t>
      </w:r>
    </w:p>
    <w:p w:rsidR="0027640A" w:rsidRDefault="0027640A" w:rsidP="0027640A">
      <w:pPr>
        <w:spacing w:line="480" w:lineRule="auto"/>
        <w:jc w:val="both"/>
        <w:rPr>
          <w:rtl/>
        </w:rPr>
      </w:pPr>
      <w:r>
        <w:rPr>
          <w:rFonts w:hint="eastAsia"/>
          <w:rtl/>
        </w:rPr>
        <w:t>חוסר</w:t>
      </w:r>
      <w:r>
        <w:rPr>
          <w:rtl/>
        </w:rPr>
        <w:t xml:space="preserve"> הסבירות של </w:t>
      </w:r>
      <w:r>
        <w:rPr>
          <w:rFonts w:hint="eastAsia"/>
          <w:rtl/>
        </w:rPr>
        <w:t>רשות</w:t>
      </w:r>
      <w:r>
        <w:rPr>
          <w:rtl/>
        </w:rPr>
        <w:t xml:space="preserve"> מנהלית פירושו סטייה </w:t>
      </w:r>
      <w:r>
        <w:rPr>
          <w:rFonts w:hint="eastAsia"/>
          <w:rtl/>
        </w:rPr>
        <w:t>של</w:t>
      </w:r>
      <w:r>
        <w:rPr>
          <w:rtl/>
        </w:rPr>
        <w:t xml:space="preserve"> הרשות המנהלית מסטנדר</w:t>
      </w:r>
      <w:r>
        <w:rPr>
          <w:rFonts w:hint="cs"/>
          <w:rtl/>
        </w:rPr>
        <w:t>ט</w:t>
      </w:r>
      <w:r>
        <w:rPr>
          <w:rtl/>
        </w:rPr>
        <w:t xml:space="preserve"> ההתנהגות המקובל של רשות מנהלית סבירה בנסיבות העניין. </w:t>
      </w:r>
    </w:p>
    <w:p w:rsidR="0027640A" w:rsidRDefault="0027640A" w:rsidP="0027640A">
      <w:pPr>
        <w:spacing w:line="480" w:lineRule="auto"/>
        <w:jc w:val="both"/>
        <w:rPr>
          <w:rFonts w:hint="cs"/>
          <w:rtl/>
        </w:rPr>
      </w:pPr>
      <w:r>
        <w:rPr>
          <w:rFonts w:hint="eastAsia"/>
          <w:rtl/>
        </w:rPr>
        <w:t>מונח</w:t>
      </w:r>
      <w:r>
        <w:rPr>
          <w:rtl/>
        </w:rPr>
        <w:t xml:space="preserve"> זה נמדד על פי אמת המידה של </w:t>
      </w:r>
      <w:r>
        <w:rPr>
          <w:rFonts w:hint="cs"/>
          <w:rtl/>
        </w:rPr>
        <w:t>"</w:t>
      </w:r>
      <w:r>
        <w:rPr>
          <w:rtl/>
        </w:rPr>
        <w:t>האדם הסביר</w:t>
      </w:r>
      <w:r>
        <w:rPr>
          <w:rFonts w:hint="cs"/>
          <w:rtl/>
        </w:rPr>
        <w:t>",</w:t>
      </w:r>
      <w:r>
        <w:rPr>
          <w:rtl/>
        </w:rPr>
        <w:t xml:space="preserve"> </w:t>
      </w:r>
      <w:r>
        <w:rPr>
          <w:rFonts w:hint="eastAsia"/>
          <w:rtl/>
        </w:rPr>
        <w:t>במסגרתו</w:t>
      </w:r>
      <w:r>
        <w:rPr>
          <w:rtl/>
        </w:rPr>
        <w:t xml:space="preserve"> בוחנים באופן אובייקטיבי מה הרשות המנהלית הסבירה הייתה צריכה להחליט</w:t>
      </w:r>
      <w:r>
        <w:rPr>
          <w:rFonts w:hint="cs"/>
          <w:rtl/>
        </w:rPr>
        <w:t xml:space="preserve"> או</w:t>
      </w:r>
      <w:r>
        <w:rPr>
          <w:rtl/>
        </w:rPr>
        <w:t xml:space="preserve"> לקבוע </w:t>
      </w:r>
      <w:r>
        <w:rPr>
          <w:rFonts w:hint="eastAsia"/>
          <w:rtl/>
        </w:rPr>
        <w:t>בנסיבות</w:t>
      </w:r>
      <w:r>
        <w:rPr>
          <w:rtl/>
        </w:rPr>
        <w:t xml:space="preserve"> המסוימות.</w:t>
      </w:r>
      <w:r>
        <w:rPr>
          <w:rFonts w:hint="cs"/>
          <w:rtl/>
        </w:rPr>
        <w:t xml:space="preserve"> </w:t>
      </w:r>
    </w:p>
    <w:p w:rsidR="0027640A" w:rsidRDefault="0027640A" w:rsidP="0027640A">
      <w:pPr>
        <w:spacing w:line="480" w:lineRule="auto"/>
        <w:jc w:val="both"/>
        <w:rPr>
          <w:rFonts w:hint="cs"/>
          <w:rtl/>
        </w:rPr>
      </w:pPr>
      <w:r>
        <w:rPr>
          <w:rFonts w:hint="cs"/>
          <w:rtl/>
        </w:rPr>
        <w:t xml:space="preserve">בשאלת הסבירות יש לבחון  3 רכיבים: ראשית, האם נלקחו בחשבון </w:t>
      </w:r>
      <w:r w:rsidRPr="009038F3">
        <w:rPr>
          <w:rFonts w:hint="cs"/>
          <w:u w:val="single"/>
          <w:rtl/>
        </w:rPr>
        <w:t>כל</w:t>
      </w:r>
      <w:r>
        <w:rPr>
          <w:rFonts w:hint="cs"/>
          <w:rtl/>
        </w:rPr>
        <w:t xml:space="preserve"> השיקולים. שנית, האם ניתן משקל ראוי לכל אחד מן השיקולים. ולבסוף, האם נעשה איזון ביניהם. יתכן וב</w:t>
      </w:r>
      <w:r w:rsidR="00C67884">
        <w:rPr>
          <w:rFonts w:hint="cs"/>
          <w:rtl/>
        </w:rPr>
        <w:t>מקרה דנן</w:t>
      </w:r>
      <w:r>
        <w:rPr>
          <w:rFonts w:hint="cs"/>
          <w:rtl/>
        </w:rPr>
        <w:t xml:space="preserve"> לא נלקח בחשבון השיקול של ההשלכה הסביבתית,</w:t>
      </w:r>
      <w:r w:rsidR="00F8580C">
        <w:rPr>
          <w:rFonts w:hint="cs"/>
          <w:rtl/>
        </w:rPr>
        <w:t xml:space="preserve"> או לחלופין - שלא ניתן לשיקול הסביבתי משקל ראוי,</w:t>
      </w:r>
      <w:r>
        <w:rPr>
          <w:rFonts w:hint="cs"/>
          <w:rtl/>
        </w:rPr>
        <w:t xml:space="preserve"> דבר המעיד על פגם בסבירות. </w:t>
      </w:r>
    </w:p>
    <w:p w:rsidR="0027640A" w:rsidRDefault="0027640A" w:rsidP="0027640A">
      <w:pPr>
        <w:spacing w:line="480" w:lineRule="auto"/>
        <w:jc w:val="both"/>
        <w:rPr>
          <w:rFonts w:hint="cs"/>
          <w:rtl/>
        </w:rPr>
      </w:pPr>
      <w:r>
        <w:rPr>
          <w:rFonts w:hint="eastAsia"/>
          <w:rtl/>
        </w:rPr>
        <w:t>לעיתים</w:t>
      </w:r>
      <w:r>
        <w:rPr>
          <w:rtl/>
        </w:rPr>
        <w:t xml:space="preserve"> יתבטא </w:t>
      </w:r>
      <w:r>
        <w:rPr>
          <w:rFonts w:hint="eastAsia"/>
          <w:rtl/>
        </w:rPr>
        <w:t>חוסר</w:t>
      </w:r>
      <w:r>
        <w:rPr>
          <w:rtl/>
        </w:rPr>
        <w:t xml:space="preserve"> הסבירות בעילות ביקורת אחרות,</w:t>
      </w:r>
      <w:r>
        <w:rPr>
          <w:rFonts w:hint="cs"/>
          <w:rtl/>
        </w:rPr>
        <w:t xml:space="preserve"> </w:t>
      </w:r>
      <w:r>
        <w:rPr>
          <w:rtl/>
        </w:rPr>
        <w:t xml:space="preserve">כלומר ניתן לעיתים לאפיין את חוסר הסבירות </w:t>
      </w:r>
      <w:r>
        <w:rPr>
          <w:rFonts w:hint="eastAsia"/>
          <w:rtl/>
        </w:rPr>
        <w:t>בעילות</w:t>
      </w:r>
      <w:r>
        <w:rPr>
          <w:rtl/>
        </w:rPr>
        <w:t xml:space="preserve"> מוכרות אחרות בהם נבחן שיקול הדעת המנהלי כמו שרירות, חוסר תום לב, אפליה </w:t>
      </w:r>
      <w:r>
        <w:rPr>
          <w:rFonts w:hint="eastAsia"/>
          <w:rtl/>
        </w:rPr>
        <w:t>וכד</w:t>
      </w:r>
      <w:r>
        <w:rPr>
          <w:rtl/>
        </w:rPr>
        <w:t xml:space="preserve">'. </w:t>
      </w:r>
      <w:r>
        <w:rPr>
          <w:rFonts w:hint="cs"/>
          <w:rtl/>
        </w:rPr>
        <w:t xml:space="preserve"> </w:t>
      </w:r>
      <w:r>
        <w:rPr>
          <w:rtl/>
        </w:rPr>
        <w:t>עקרון הסבירות קובע תחום של אופציות שה</w:t>
      </w:r>
      <w:r>
        <w:rPr>
          <w:rFonts w:hint="cs"/>
          <w:rtl/>
        </w:rPr>
        <w:t>י</w:t>
      </w:r>
      <w:r>
        <w:rPr>
          <w:rtl/>
        </w:rPr>
        <w:t xml:space="preserve">נן סבירות בנסיבות העניין, ישנו מתחם </w:t>
      </w:r>
      <w:r>
        <w:rPr>
          <w:rFonts w:hint="eastAsia"/>
          <w:rtl/>
        </w:rPr>
        <w:t>סבירות</w:t>
      </w:r>
      <w:r>
        <w:rPr>
          <w:rtl/>
        </w:rPr>
        <w:t>, ובאופציות הפעולה שנכנסות לגדר אותו מתחם, לא יתערב בית המשפט אף אם</w:t>
      </w:r>
      <w:r>
        <w:rPr>
          <w:rFonts w:hint="cs"/>
          <w:rtl/>
        </w:rPr>
        <w:t xml:space="preserve"> הוא</w:t>
      </w:r>
      <w:r>
        <w:rPr>
          <w:rtl/>
        </w:rPr>
        <w:t xml:space="preserve"> מעדיף </w:t>
      </w:r>
      <w:r>
        <w:rPr>
          <w:rFonts w:hint="eastAsia"/>
          <w:rtl/>
        </w:rPr>
        <w:t>אופציה</w:t>
      </w:r>
      <w:r>
        <w:rPr>
          <w:rtl/>
        </w:rPr>
        <w:t xml:space="preserve"> אחת על פני השניה</w:t>
      </w:r>
      <w:r>
        <w:rPr>
          <w:rFonts w:hint="cs"/>
          <w:rtl/>
        </w:rPr>
        <w:t>,</w:t>
      </w:r>
      <w:r>
        <w:rPr>
          <w:rtl/>
        </w:rPr>
        <w:t xml:space="preserve"> וזאת משום שאין בית המשפט מחליף את שקול דעת הרשות </w:t>
      </w:r>
      <w:r>
        <w:rPr>
          <w:rtl/>
        </w:rPr>
        <w:lastRenderedPageBreak/>
        <w:t xml:space="preserve">בשיקול </w:t>
      </w:r>
      <w:r>
        <w:rPr>
          <w:rFonts w:hint="eastAsia"/>
          <w:rtl/>
        </w:rPr>
        <w:t>דעתו</w:t>
      </w:r>
      <w:r>
        <w:rPr>
          <w:rFonts w:hint="cs"/>
          <w:rtl/>
        </w:rPr>
        <w:t>.</w:t>
      </w:r>
      <w:r>
        <w:rPr>
          <w:rtl/>
        </w:rPr>
        <w:t xml:space="preserve"> בית המשפט יתערב בעילה של חוסר סבירות רק אם הפעולה חורגת ממתחם הסבירות</w:t>
      </w:r>
      <w:r>
        <w:rPr>
          <w:rFonts w:hint="cs"/>
          <w:rtl/>
        </w:rPr>
        <w:t>,</w:t>
      </w:r>
      <w:r>
        <w:rPr>
          <w:rtl/>
        </w:rPr>
        <w:t xml:space="preserve"> </w:t>
      </w:r>
      <w:r>
        <w:rPr>
          <w:rFonts w:hint="cs"/>
          <w:rtl/>
        </w:rPr>
        <w:t>ד</w:t>
      </w:r>
      <w:r>
        <w:rPr>
          <w:rtl/>
        </w:rPr>
        <w:t xml:space="preserve">היינו </w:t>
      </w:r>
      <w:r>
        <w:rPr>
          <w:rFonts w:hint="eastAsia"/>
          <w:rtl/>
        </w:rPr>
        <w:t>שיש</w:t>
      </w:r>
      <w:r>
        <w:rPr>
          <w:rtl/>
        </w:rPr>
        <w:t xml:space="preserve"> סטייה מהותית</w:t>
      </w:r>
      <w:r>
        <w:rPr>
          <w:rFonts w:hint="cs"/>
          <w:rtl/>
        </w:rPr>
        <w:t>,</w:t>
      </w:r>
      <w:r>
        <w:rPr>
          <w:rtl/>
        </w:rPr>
        <w:t xml:space="preserve"> היורדת לשורש העניין</w:t>
      </w:r>
      <w:r>
        <w:rPr>
          <w:rFonts w:hint="cs"/>
          <w:rtl/>
        </w:rPr>
        <w:t>,</w:t>
      </w:r>
      <w:r>
        <w:rPr>
          <w:rtl/>
        </w:rPr>
        <w:t xml:space="preserve"> מסטנדרט ההתנהגות המקובל על הרשות המנהלית.</w:t>
      </w:r>
      <w:r>
        <w:rPr>
          <w:rFonts w:hint="cs"/>
          <w:rtl/>
        </w:rPr>
        <w:t xml:space="preserve"> במקרה דנן לא נראה כי קיימת סטיה מהותית שכזו.</w:t>
      </w:r>
    </w:p>
    <w:p w:rsidR="0027640A" w:rsidRDefault="0027640A" w:rsidP="0027640A">
      <w:pPr>
        <w:spacing w:line="480" w:lineRule="auto"/>
        <w:jc w:val="both"/>
        <w:rPr>
          <w:rFonts w:hint="cs"/>
          <w:rtl/>
        </w:rPr>
      </w:pPr>
    </w:p>
    <w:p w:rsidR="0027640A" w:rsidRDefault="0027640A" w:rsidP="00E84146">
      <w:pPr>
        <w:pStyle w:val="3"/>
        <w:rPr>
          <w:rFonts w:hint="cs"/>
          <w:rtl/>
        </w:rPr>
      </w:pPr>
      <w:bookmarkStart w:id="10" w:name="_Toc144716263"/>
      <w:r w:rsidRPr="0005361C">
        <w:rPr>
          <w:rFonts w:hint="eastAsia"/>
          <w:rtl/>
        </w:rPr>
        <w:t>ג</w:t>
      </w:r>
      <w:r w:rsidRPr="0005361C">
        <w:rPr>
          <w:rtl/>
        </w:rPr>
        <w:t>.</w:t>
      </w:r>
      <w:r>
        <w:rPr>
          <w:rtl/>
        </w:rPr>
        <w:t xml:space="preserve"> </w:t>
      </w:r>
      <w:r>
        <w:rPr>
          <w:rFonts w:hint="eastAsia"/>
          <w:rtl/>
        </w:rPr>
        <w:t>מידתיות</w:t>
      </w:r>
      <w:r>
        <w:rPr>
          <w:rtl/>
        </w:rPr>
        <w:t>-</w:t>
      </w:r>
      <w:bookmarkEnd w:id="10"/>
      <w:r>
        <w:rPr>
          <w:rtl/>
        </w:rPr>
        <w:t xml:space="preserve"> </w:t>
      </w:r>
    </w:p>
    <w:p w:rsidR="0027640A" w:rsidRDefault="0027640A" w:rsidP="0027640A">
      <w:pPr>
        <w:spacing w:line="480" w:lineRule="auto"/>
        <w:jc w:val="both"/>
        <w:rPr>
          <w:rtl/>
        </w:rPr>
      </w:pPr>
      <w:r>
        <w:rPr>
          <w:rFonts w:hint="eastAsia"/>
          <w:rtl/>
        </w:rPr>
        <w:t>עקרון</w:t>
      </w:r>
      <w:r>
        <w:rPr>
          <w:rtl/>
        </w:rPr>
        <w:t xml:space="preserve"> המידתיות קובע, כי המעשה </w:t>
      </w:r>
      <w:r>
        <w:rPr>
          <w:rFonts w:hint="cs"/>
          <w:rtl/>
        </w:rPr>
        <w:t>ה</w:t>
      </w:r>
      <w:r>
        <w:rPr>
          <w:rtl/>
        </w:rPr>
        <w:t xml:space="preserve">מנהלי צריך לשקף יחס ראוי בין המטרה, הראויה כשלעצמה, </w:t>
      </w:r>
      <w:r>
        <w:rPr>
          <w:rFonts w:hint="eastAsia"/>
          <w:rtl/>
        </w:rPr>
        <w:t>לבין</w:t>
      </w:r>
      <w:r>
        <w:rPr>
          <w:rtl/>
        </w:rPr>
        <w:t xml:space="preserve"> האמצעי שבו נוקטת הרשות לשם הגשמתה של המטרה .</w:t>
      </w:r>
    </w:p>
    <w:p w:rsidR="0027640A" w:rsidRDefault="0027640A" w:rsidP="0027640A">
      <w:pPr>
        <w:spacing w:line="480" w:lineRule="auto"/>
        <w:jc w:val="both"/>
        <w:rPr>
          <w:rtl/>
        </w:rPr>
      </w:pPr>
      <w:r>
        <w:rPr>
          <w:rFonts w:hint="eastAsia"/>
          <w:rtl/>
        </w:rPr>
        <w:t>המידתיות</w:t>
      </w:r>
      <w:r>
        <w:rPr>
          <w:rtl/>
        </w:rPr>
        <w:t xml:space="preserve"> כוללת 3 </w:t>
      </w:r>
      <w:r>
        <w:rPr>
          <w:rFonts w:hint="cs"/>
          <w:rtl/>
        </w:rPr>
        <w:t>מבחני משנה</w:t>
      </w:r>
      <w:r>
        <w:rPr>
          <w:rtl/>
        </w:rPr>
        <w:t>:</w:t>
      </w:r>
    </w:p>
    <w:p w:rsidR="0027640A" w:rsidRDefault="0027640A" w:rsidP="00C67884">
      <w:pPr>
        <w:spacing w:line="480" w:lineRule="auto"/>
        <w:ind w:left="720"/>
        <w:jc w:val="both"/>
        <w:rPr>
          <w:rtl/>
        </w:rPr>
      </w:pPr>
      <w:r>
        <w:rPr>
          <w:rtl/>
        </w:rPr>
        <w:t>1)</w:t>
      </w:r>
      <w:r>
        <w:rPr>
          <w:rFonts w:hint="cs"/>
          <w:rtl/>
        </w:rPr>
        <w:t xml:space="preserve"> מבחן הקשר הרצוי </w:t>
      </w:r>
      <w:r>
        <w:rPr>
          <w:rtl/>
        </w:rPr>
        <w:t xml:space="preserve">- </w:t>
      </w:r>
      <w:r>
        <w:rPr>
          <w:rFonts w:hint="eastAsia"/>
          <w:rtl/>
        </w:rPr>
        <w:t>צריכה</w:t>
      </w:r>
      <w:r>
        <w:rPr>
          <w:rtl/>
        </w:rPr>
        <w:t xml:space="preserve"> להיות התאמה בין האמצעי בו נוקטים לבין המטרה אותה מבקשים להשיג.</w:t>
      </w:r>
    </w:p>
    <w:p w:rsidR="0027640A" w:rsidRDefault="0027640A" w:rsidP="00A233C0">
      <w:pPr>
        <w:spacing w:line="480" w:lineRule="auto"/>
        <w:ind w:left="720"/>
        <w:jc w:val="both"/>
        <w:rPr>
          <w:rFonts w:hint="cs"/>
          <w:rtl/>
        </w:rPr>
      </w:pPr>
      <w:r>
        <w:rPr>
          <w:rtl/>
        </w:rPr>
        <w:t xml:space="preserve">2) האמצעי שפגיעתו </w:t>
      </w:r>
      <w:r>
        <w:rPr>
          <w:rFonts w:hint="eastAsia"/>
          <w:rtl/>
        </w:rPr>
        <w:t>פחותה</w:t>
      </w:r>
      <w:r w:rsidR="00A233C0">
        <w:rPr>
          <w:rFonts w:hint="cs"/>
          <w:rtl/>
        </w:rPr>
        <w:t xml:space="preserve"> - </w:t>
      </w:r>
      <w:r>
        <w:rPr>
          <w:rFonts w:hint="eastAsia"/>
          <w:rtl/>
        </w:rPr>
        <w:t>יש</w:t>
      </w:r>
      <w:r>
        <w:rPr>
          <w:rtl/>
        </w:rPr>
        <w:t xml:space="preserve"> לנקוט באמצעי שפגיעתו בזכות או </w:t>
      </w:r>
      <w:r>
        <w:rPr>
          <w:rFonts w:hint="eastAsia"/>
          <w:rtl/>
        </w:rPr>
        <w:t>באינטרס</w:t>
      </w:r>
      <w:r>
        <w:rPr>
          <w:rtl/>
        </w:rPr>
        <w:t xml:space="preserve"> היא המזערית. </w:t>
      </w:r>
    </w:p>
    <w:p w:rsidR="0027640A" w:rsidRDefault="0027640A" w:rsidP="00C67884">
      <w:pPr>
        <w:spacing w:line="480" w:lineRule="auto"/>
        <w:ind w:left="720"/>
        <w:jc w:val="both"/>
        <w:rPr>
          <w:rtl/>
        </w:rPr>
      </w:pPr>
      <w:r>
        <w:rPr>
          <w:rtl/>
        </w:rPr>
        <w:t xml:space="preserve">3) </w:t>
      </w:r>
      <w:r>
        <w:rPr>
          <w:rFonts w:hint="cs"/>
          <w:rtl/>
        </w:rPr>
        <w:t xml:space="preserve">היחס הראוי לתועלת </w:t>
      </w:r>
      <w:r w:rsidR="00A233C0">
        <w:rPr>
          <w:rFonts w:hint="cs"/>
          <w:rtl/>
        </w:rPr>
        <w:t>-</w:t>
      </w:r>
      <w:r>
        <w:rPr>
          <w:rtl/>
        </w:rPr>
        <w:t xml:space="preserve"> </w:t>
      </w:r>
      <w:r>
        <w:rPr>
          <w:rFonts w:hint="cs"/>
          <w:rtl/>
        </w:rPr>
        <w:t>דרישה לקיום</w:t>
      </w:r>
      <w:r>
        <w:rPr>
          <w:rtl/>
        </w:rPr>
        <w:t xml:space="preserve"> יחס סביר בין הפגיעה </w:t>
      </w:r>
      <w:r>
        <w:rPr>
          <w:rFonts w:hint="cs"/>
          <w:rtl/>
        </w:rPr>
        <w:t>ש</w:t>
      </w:r>
      <w:r>
        <w:rPr>
          <w:rtl/>
        </w:rPr>
        <w:t>הפעולה גורמת לבין התועלת</w:t>
      </w:r>
      <w:r>
        <w:rPr>
          <w:rFonts w:hint="cs"/>
          <w:rtl/>
        </w:rPr>
        <w:t xml:space="preserve"> והתכלית המושגת באותה פגיעה.</w:t>
      </w:r>
    </w:p>
    <w:p w:rsidR="0027640A" w:rsidRDefault="0027640A" w:rsidP="0027640A">
      <w:pPr>
        <w:spacing w:line="480" w:lineRule="auto"/>
        <w:jc w:val="both"/>
        <w:rPr>
          <w:rFonts w:hint="cs"/>
          <w:rtl/>
        </w:rPr>
      </w:pPr>
      <w:r>
        <w:rPr>
          <w:rFonts w:hint="cs"/>
          <w:rtl/>
        </w:rPr>
        <w:t xml:space="preserve">ניתן לטעון כי תמרוץ לשימוש ברכב פרטי, פוגע משמעותית באינטרס הסביבתי של הציבור, וניתן היה למצוא אמצעי אחר שפגיעתו פחותה. עוד ניתן לומר, כי הפגיעה הנגרמת כתוצאה משימוש גובר ברכב פרטי, עולה על התועלת (למשל הכלכלית) הנצמחת כתוצאה מכך. אולם, ראוי להוכיח ולעגן טענה זו במחקרים שונים. </w:t>
      </w:r>
    </w:p>
    <w:p w:rsidR="0027640A" w:rsidRDefault="0027640A" w:rsidP="0027640A">
      <w:pPr>
        <w:spacing w:line="480" w:lineRule="auto"/>
        <w:jc w:val="both"/>
        <w:rPr>
          <w:rtl/>
        </w:rPr>
      </w:pPr>
      <w:r>
        <w:rPr>
          <w:rFonts w:hint="eastAsia"/>
          <w:rtl/>
        </w:rPr>
        <w:t>את</w:t>
      </w:r>
      <w:r>
        <w:rPr>
          <w:rtl/>
        </w:rPr>
        <w:t xml:space="preserve"> עיקרון המידתיות </w:t>
      </w:r>
      <w:r>
        <w:rPr>
          <w:rFonts w:hint="eastAsia"/>
          <w:rtl/>
        </w:rPr>
        <w:t>מפעילים</w:t>
      </w:r>
      <w:r>
        <w:rPr>
          <w:rtl/>
        </w:rPr>
        <w:t xml:space="preserve"> לאחר שנמצא מתחם הסבירות, כך שלמעשה הפעלת העיקרון מצמצמת את מספר </w:t>
      </w:r>
      <w:r>
        <w:rPr>
          <w:rFonts w:hint="eastAsia"/>
          <w:rtl/>
        </w:rPr>
        <w:t>האופציות</w:t>
      </w:r>
      <w:r>
        <w:rPr>
          <w:rtl/>
        </w:rPr>
        <w:t xml:space="preserve"> שעלו כאפשריות במתחם הסבירות.</w:t>
      </w:r>
    </w:p>
    <w:p w:rsidR="0027640A" w:rsidRDefault="0027640A" w:rsidP="0027640A">
      <w:pPr>
        <w:spacing w:line="480" w:lineRule="auto"/>
        <w:jc w:val="both"/>
        <w:rPr>
          <w:rFonts w:hint="cs"/>
          <w:b/>
          <w:bCs/>
          <w:rtl/>
        </w:rPr>
      </w:pPr>
    </w:p>
    <w:p w:rsidR="0027640A" w:rsidRDefault="0027640A" w:rsidP="00E84146">
      <w:pPr>
        <w:pStyle w:val="3"/>
        <w:rPr>
          <w:rFonts w:hint="cs"/>
          <w:rtl/>
        </w:rPr>
      </w:pPr>
      <w:bookmarkStart w:id="11" w:name="_Toc144716264"/>
      <w:r>
        <w:rPr>
          <w:rFonts w:hint="cs"/>
          <w:rtl/>
        </w:rPr>
        <w:t>ד</w:t>
      </w:r>
      <w:r>
        <w:rPr>
          <w:rtl/>
        </w:rPr>
        <w:t>. חובת ההגינות-</w:t>
      </w:r>
      <w:bookmarkEnd w:id="11"/>
      <w:r>
        <w:rPr>
          <w:rtl/>
        </w:rPr>
        <w:t xml:space="preserve"> </w:t>
      </w:r>
    </w:p>
    <w:p w:rsidR="0027640A" w:rsidRDefault="0027640A" w:rsidP="00544576">
      <w:pPr>
        <w:spacing w:line="480" w:lineRule="auto"/>
        <w:jc w:val="both"/>
        <w:rPr>
          <w:rFonts w:hint="cs"/>
          <w:rtl/>
        </w:rPr>
      </w:pPr>
      <w:r>
        <w:rPr>
          <w:rFonts w:hint="eastAsia"/>
          <w:rtl/>
        </w:rPr>
        <w:t>יסודה</w:t>
      </w:r>
      <w:r>
        <w:rPr>
          <w:rtl/>
        </w:rPr>
        <w:t xml:space="preserve"> של חובה זו במעמדה של </w:t>
      </w:r>
      <w:r>
        <w:rPr>
          <w:rFonts w:hint="eastAsia"/>
          <w:rtl/>
        </w:rPr>
        <w:t>הרשות</w:t>
      </w:r>
      <w:r>
        <w:rPr>
          <w:rtl/>
        </w:rPr>
        <w:t xml:space="preserve"> </w:t>
      </w:r>
      <w:r>
        <w:rPr>
          <w:rFonts w:hint="eastAsia"/>
          <w:rtl/>
        </w:rPr>
        <w:t>המנהלית</w:t>
      </w:r>
      <w:r w:rsidR="00544576">
        <w:rPr>
          <w:rtl/>
        </w:rPr>
        <w:t xml:space="preserve"> כנאמנה כלפי הציבור. חוב</w:t>
      </w:r>
      <w:r w:rsidR="00544576">
        <w:rPr>
          <w:rFonts w:hint="cs"/>
          <w:rtl/>
        </w:rPr>
        <w:t>ת</w:t>
      </w:r>
      <w:r>
        <w:rPr>
          <w:rtl/>
        </w:rPr>
        <w:t xml:space="preserve"> </w:t>
      </w:r>
      <w:r w:rsidR="00544576">
        <w:rPr>
          <w:rFonts w:hint="cs"/>
          <w:rtl/>
        </w:rPr>
        <w:t>ההגינות</w:t>
      </w:r>
      <w:r>
        <w:rPr>
          <w:rtl/>
        </w:rPr>
        <w:t xml:space="preserve"> מ</w:t>
      </w:r>
      <w:r w:rsidR="00544576">
        <w:rPr>
          <w:rFonts w:hint="cs"/>
          <w:rtl/>
        </w:rPr>
        <w:t xml:space="preserve">טילה על </w:t>
      </w:r>
      <w:r w:rsidR="00544576">
        <w:rPr>
          <w:rtl/>
        </w:rPr>
        <w:t xml:space="preserve"> </w:t>
      </w:r>
      <w:r>
        <w:rPr>
          <w:rtl/>
        </w:rPr>
        <w:t>הרשות המנהלית</w:t>
      </w:r>
      <w:r w:rsidR="00544576">
        <w:rPr>
          <w:rFonts w:hint="cs"/>
          <w:rtl/>
        </w:rPr>
        <w:t xml:space="preserve"> חובה</w:t>
      </w:r>
      <w:r>
        <w:rPr>
          <w:rtl/>
        </w:rPr>
        <w:t xml:space="preserve"> לנהוג בתום לב הגינות </w:t>
      </w:r>
      <w:r>
        <w:rPr>
          <w:rFonts w:hint="eastAsia"/>
          <w:rtl/>
        </w:rPr>
        <w:t>ויושר</w:t>
      </w:r>
      <w:r>
        <w:rPr>
          <w:rtl/>
        </w:rPr>
        <w:t xml:space="preserve"> בפעולותיה וכן להימנע משרירותיות.</w:t>
      </w:r>
      <w:r>
        <w:rPr>
          <w:rFonts w:hint="cs"/>
          <w:rtl/>
        </w:rPr>
        <w:t xml:space="preserve"> במקרה דנן לא נראה כי מצוי פגם בחובת ההגינות של הרשות כלפי הציבור.</w:t>
      </w:r>
    </w:p>
    <w:p w:rsidR="0027640A" w:rsidRDefault="0027640A" w:rsidP="0027640A">
      <w:pPr>
        <w:pStyle w:val="a3"/>
        <w:spacing w:line="480" w:lineRule="auto"/>
        <w:jc w:val="both"/>
        <w:rPr>
          <w:rFonts w:cs="David" w:hint="cs"/>
          <w:sz w:val="24"/>
          <w:szCs w:val="24"/>
          <w:rtl/>
        </w:rPr>
      </w:pPr>
    </w:p>
    <w:p w:rsidR="0027640A" w:rsidRDefault="0027640A" w:rsidP="00E84146">
      <w:pPr>
        <w:pStyle w:val="3"/>
        <w:rPr>
          <w:rFonts w:hint="cs"/>
          <w:rtl/>
        </w:rPr>
      </w:pPr>
      <w:bookmarkStart w:id="12" w:name="_Toc144716265"/>
      <w:r w:rsidRPr="00E92FD7">
        <w:rPr>
          <w:rFonts w:hint="cs"/>
          <w:rtl/>
        </w:rPr>
        <w:t xml:space="preserve">ה. </w:t>
      </w:r>
      <w:r w:rsidRPr="00E92FD7">
        <w:rPr>
          <w:rtl/>
        </w:rPr>
        <w:t>שמ</w:t>
      </w:r>
      <w:r w:rsidRPr="00E92FD7">
        <w:rPr>
          <w:rFonts w:hint="cs"/>
          <w:rtl/>
        </w:rPr>
        <w:t>י</w:t>
      </w:r>
      <w:r w:rsidRPr="00E92FD7">
        <w:rPr>
          <w:rtl/>
        </w:rPr>
        <w:t>ר</w:t>
      </w:r>
      <w:r w:rsidRPr="00E92FD7">
        <w:rPr>
          <w:rFonts w:hint="cs"/>
          <w:rtl/>
        </w:rPr>
        <w:t>ה</w:t>
      </w:r>
      <w:r w:rsidRPr="00E92FD7">
        <w:rPr>
          <w:rtl/>
        </w:rPr>
        <w:t xml:space="preserve"> על</w:t>
      </w:r>
      <w:r>
        <w:rPr>
          <w:rtl/>
        </w:rPr>
        <w:t xml:space="preserve"> כללי הצדק הטבעי</w:t>
      </w:r>
      <w:r>
        <w:rPr>
          <w:rFonts w:hint="cs"/>
          <w:rtl/>
        </w:rPr>
        <w:t>-</w:t>
      </w:r>
      <w:bookmarkEnd w:id="12"/>
    </w:p>
    <w:p w:rsidR="0027640A" w:rsidRDefault="0027640A" w:rsidP="0027640A">
      <w:pPr>
        <w:spacing w:line="480" w:lineRule="auto"/>
        <w:jc w:val="both"/>
        <w:rPr>
          <w:rFonts w:hint="cs"/>
          <w:rtl/>
        </w:rPr>
      </w:pPr>
      <w:r>
        <w:rPr>
          <w:rFonts w:hint="cs"/>
          <w:rtl/>
        </w:rPr>
        <w:t xml:space="preserve">על הרשות המנהלית מוטלת החובה לשמור על כללי הצדק הטבעי, ביניהם: </w:t>
      </w:r>
    </w:p>
    <w:p w:rsidR="0027640A" w:rsidRDefault="0027640A" w:rsidP="0027640A">
      <w:pPr>
        <w:spacing w:line="480" w:lineRule="auto"/>
        <w:jc w:val="both"/>
        <w:rPr>
          <w:rFonts w:hint="cs"/>
          <w:rtl/>
        </w:rPr>
      </w:pPr>
      <w:r w:rsidRPr="00E101D0">
        <w:rPr>
          <w:rFonts w:hint="cs"/>
          <w:b/>
          <w:bCs/>
          <w:rtl/>
        </w:rPr>
        <w:lastRenderedPageBreak/>
        <w:t>1.</w:t>
      </w:r>
      <w:r>
        <w:rPr>
          <w:rFonts w:hint="cs"/>
          <w:rtl/>
        </w:rPr>
        <w:t xml:space="preserve"> </w:t>
      </w:r>
      <w:r>
        <w:rPr>
          <w:rFonts w:hint="eastAsia"/>
          <w:rtl/>
        </w:rPr>
        <w:t>מתן</w:t>
      </w:r>
      <w:r>
        <w:rPr>
          <w:rtl/>
        </w:rPr>
        <w:t xml:space="preserve"> זכות טיעון- </w:t>
      </w:r>
      <w:r>
        <w:rPr>
          <w:rFonts w:hint="eastAsia"/>
          <w:rtl/>
        </w:rPr>
        <w:t>לא</w:t>
      </w:r>
      <w:r>
        <w:rPr>
          <w:rtl/>
        </w:rPr>
        <w:t xml:space="preserve"> יורשה גוף מנהלי </w:t>
      </w:r>
      <w:r w:rsidRPr="004575C8">
        <w:rPr>
          <w:rtl/>
        </w:rPr>
        <w:t>לפגוע</w:t>
      </w:r>
      <w:r>
        <w:rPr>
          <w:rtl/>
        </w:rPr>
        <w:t xml:space="preserve"> באזרח פגיעת גוף, רכוש, מקצוע מעמד וכיו"</w:t>
      </w:r>
      <w:r>
        <w:rPr>
          <w:rFonts w:hint="eastAsia"/>
          <w:rtl/>
        </w:rPr>
        <w:t>ב</w:t>
      </w:r>
      <w:r>
        <w:rPr>
          <w:rtl/>
        </w:rPr>
        <w:t xml:space="preserve">, אלא אם </w:t>
      </w:r>
      <w:r>
        <w:rPr>
          <w:rFonts w:hint="eastAsia"/>
          <w:rtl/>
        </w:rPr>
        <w:t>כן</w:t>
      </w:r>
      <w:r>
        <w:rPr>
          <w:rtl/>
        </w:rPr>
        <w:t xml:space="preserve"> ניתנה לנפגע הזדמנות הוגנת להשמעת הגנתו בפני הפגיעה</w:t>
      </w:r>
      <w:r>
        <w:rPr>
          <w:rFonts w:hint="cs"/>
          <w:rtl/>
        </w:rPr>
        <w:t>.</w:t>
      </w:r>
    </w:p>
    <w:p w:rsidR="0027640A" w:rsidRDefault="0027640A" w:rsidP="0027640A">
      <w:pPr>
        <w:spacing w:line="480" w:lineRule="auto"/>
        <w:jc w:val="both"/>
        <w:rPr>
          <w:rFonts w:hint="cs"/>
          <w:rtl/>
        </w:rPr>
      </w:pPr>
      <w:r>
        <w:rPr>
          <w:rFonts w:hint="cs"/>
          <w:rtl/>
        </w:rPr>
        <w:t>עם זאת, הליכי חקיקה למיניה</w:t>
      </w:r>
      <w:r>
        <w:rPr>
          <w:rFonts w:hint="eastAsia"/>
          <w:rtl/>
        </w:rPr>
        <w:t>ם</w:t>
      </w:r>
      <w:r>
        <w:rPr>
          <w:rFonts w:hint="cs"/>
          <w:rtl/>
        </w:rPr>
        <w:t xml:space="preserve"> הם חריגים לזכות הטיעון (כולל חקיקת משנה)</w:t>
      </w:r>
      <w:r>
        <w:rPr>
          <w:rStyle w:val="a4"/>
          <w:rtl/>
        </w:rPr>
        <w:footnoteReference w:id="12"/>
      </w:r>
      <w:r>
        <w:rPr>
          <w:rFonts w:hint="cs"/>
          <w:rtl/>
        </w:rPr>
        <w:t>. כלומר, בהנתן קיומה של חקיקה מסמיכה, הרי שזו מבטלת את זכות הטיעון. בנוסף, יתכן ובמקרה זה יהיה קשה לשכנע כי קיימת 'פגיעה ברכוש' שכן העובד שאינו בעל רכב מקבל החזר לפי תעריפי תחבורה ציבורית, ואינו מצוי במצב בו לא מקבל החזר כלל. כמו-כן, ניתן לומר שפרסום ההנחיות כשלעצמו נתן לנפגעים הזדמנות הוגנת להשמיע את הגנתם ולהתנגד לפגיעה הצפויה בהם.</w:t>
      </w:r>
    </w:p>
    <w:p w:rsidR="0027640A" w:rsidRDefault="0027640A" w:rsidP="0027640A">
      <w:pPr>
        <w:spacing w:line="480" w:lineRule="auto"/>
        <w:jc w:val="both"/>
        <w:rPr>
          <w:rFonts w:hint="cs"/>
          <w:rtl/>
        </w:rPr>
      </w:pPr>
    </w:p>
    <w:p w:rsidR="0027640A" w:rsidRDefault="0027640A" w:rsidP="0027640A">
      <w:pPr>
        <w:spacing w:line="480" w:lineRule="auto"/>
        <w:jc w:val="both"/>
        <w:rPr>
          <w:rFonts w:hint="cs"/>
          <w:rtl/>
        </w:rPr>
      </w:pPr>
      <w:r w:rsidRPr="00E101D0">
        <w:rPr>
          <w:rFonts w:hint="cs"/>
          <w:b/>
          <w:bCs/>
          <w:rtl/>
        </w:rPr>
        <w:t>2.</w:t>
      </w:r>
      <w:r w:rsidRPr="0038758E">
        <w:rPr>
          <w:rFonts w:hint="cs"/>
          <w:rtl/>
        </w:rPr>
        <w:t xml:space="preserve"> </w:t>
      </w:r>
      <w:r w:rsidRPr="0038758E">
        <w:rPr>
          <w:rFonts w:hint="eastAsia"/>
          <w:rtl/>
        </w:rPr>
        <w:t>איסור</w:t>
      </w:r>
      <w:r w:rsidRPr="0038758E">
        <w:rPr>
          <w:rtl/>
        </w:rPr>
        <w:t xml:space="preserve"> על הרשות </w:t>
      </w:r>
      <w:r w:rsidRPr="0038758E">
        <w:rPr>
          <w:rFonts w:hint="eastAsia"/>
          <w:rtl/>
        </w:rPr>
        <w:t>לפעול</w:t>
      </w:r>
      <w:r w:rsidRPr="0038758E">
        <w:rPr>
          <w:rtl/>
        </w:rPr>
        <w:t xml:space="preserve"> בניגוד עניינים או תוך משוא פנים</w:t>
      </w:r>
      <w:r>
        <w:rPr>
          <w:rFonts w:hint="cs"/>
          <w:rtl/>
        </w:rPr>
        <w:t xml:space="preserve">- </w:t>
      </w:r>
      <w:r>
        <w:rPr>
          <w:rtl/>
        </w:rPr>
        <w:t>אסור לבעל תפקיד מנהלי לשאת פנים</w:t>
      </w:r>
      <w:r>
        <w:rPr>
          <w:rFonts w:hint="cs"/>
          <w:rtl/>
        </w:rPr>
        <w:t xml:space="preserve">/ </w:t>
      </w:r>
      <w:r>
        <w:rPr>
          <w:rtl/>
        </w:rPr>
        <w:t>לנהוג איפה ואיפה,</w:t>
      </w:r>
      <w:r>
        <w:rPr>
          <w:rFonts w:hint="cs"/>
          <w:rtl/>
        </w:rPr>
        <w:t xml:space="preserve"> וכן </w:t>
      </w:r>
      <w:r>
        <w:rPr>
          <w:rtl/>
        </w:rPr>
        <w:t xml:space="preserve">אסור לו לעובד הציבור ולכל בעל תפקיד ע"פ דין, להימצא במצב של ניגוד עניינים, </w:t>
      </w:r>
      <w:r>
        <w:rPr>
          <w:rFonts w:hint="cs"/>
          <w:rtl/>
        </w:rPr>
        <w:t xml:space="preserve">או </w:t>
      </w:r>
      <w:r>
        <w:rPr>
          <w:rtl/>
        </w:rPr>
        <w:t>במצב בו קיים חשש סביר, או אפשרות ממשית לניגוד עניינים.</w:t>
      </w:r>
    </w:p>
    <w:p w:rsidR="0027640A" w:rsidRDefault="0027640A" w:rsidP="0027640A">
      <w:pPr>
        <w:spacing w:line="480" w:lineRule="auto"/>
        <w:jc w:val="both"/>
        <w:rPr>
          <w:rFonts w:hint="cs"/>
          <w:rtl/>
        </w:rPr>
      </w:pPr>
      <w:r>
        <w:rPr>
          <w:rFonts w:hint="cs"/>
          <w:rtl/>
        </w:rPr>
        <w:t>במקרה דנן, אין שום נתונים היכולים להצביע על קיומו של ניגוד עניינים או על הוראה שנקבעה במשוא פנים.</w:t>
      </w:r>
    </w:p>
    <w:p w:rsidR="0027640A" w:rsidRDefault="0027640A" w:rsidP="0027640A">
      <w:pPr>
        <w:spacing w:line="480" w:lineRule="auto"/>
        <w:jc w:val="both"/>
        <w:rPr>
          <w:rFonts w:hint="cs"/>
          <w:rtl/>
        </w:rPr>
      </w:pPr>
    </w:p>
    <w:p w:rsidR="0027640A" w:rsidRDefault="0027640A" w:rsidP="0027640A">
      <w:pPr>
        <w:spacing w:line="480" w:lineRule="auto"/>
        <w:jc w:val="both"/>
        <w:rPr>
          <w:rtl/>
        </w:rPr>
      </w:pPr>
      <w:r w:rsidRPr="00E101D0">
        <w:rPr>
          <w:rFonts w:hint="cs"/>
          <w:b/>
          <w:bCs/>
          <w:rtl/>
        </w:rPr>
        <w:t>3.</w:t>
      </w:r>
      <w:r w:rsidRPr="0038758E">
        <w:rPr>
          <w:rFonts w:hint="cs"/>
          <w:rtl/>
        </w:rPr>
        <w:t xml:space="preserve"> </w:t>
      </w:r>
      <w:r w:rsidRPr="0038758E">
        <w:rPr>
          <w:rFonts w:hint="eastAsia"/>
          <w:rtl/>
        </w:rPr>
        <w:t>איסור</w:t>
      </w:r>
      <w:r w:rsidRPr="0038758E">
        <w:rPr>
          <w:rtl/>
        </w:rPr>
        <w:t xml:space="preserve"> שיקול </w:t>
      </w:r>
      <w:r w:rsidRPr="0038758E">
        <w:rPr>
          <w:rFonts w:hint="eastAsia"/>
          <w:rtl/>
        </w:rPr>
        <w:t>מטרות</w:t>
      </w:r>
      <w:r w:rsidRPr="0038758E">
        <w:rPr>
          <w:rtl/>
        </w:rPr>
        <w:t xml:space="preserve"> זרות ושיקולים זרים </w:t>
      </w:r>
      <w:r w:rsidRPr="0038758E">
        <w:rPr>
          <w:rFonts w:hint="cs"/>
          <w:rtl/>
        </w:rPr>
        <w:t>-</w:t>
      </w:r>
      <w:r>
        <w:rPr>
          <w:rFonts w:hint="cs"/>
          <w:rtl/>
        </w:rPr>
        <w:t xml:space="preserve"> </w:t>
      </w:r>
      <w:r>
        <w:rPr>
          <w:rtl/>
        </w:rPr>
        <w:t xml:space="preserve">בהפעילה את שיקול דעתה אסור לרשות המנהלית לשקול שיקולים זרים או לפעול למען מטרה זרה. </w:t>
      </w:r>
    </w:p>
    <w:p w:rsidR="0027640A" w:rsidRDefault="0027640A" w:rsidP="0027640A">
      <w:pPr>
        <w:spacing w:line="480" w:lineRule="auto"/>
        <w:jc w:val="both"/>
        <w:rPr>
          <w:rFonts w:hint="cs"/>
          <w:rtl/>
        </w:rPr>
      </w:pPr>
      <w:r>
        <w:rPr>
          <w:rtl/>
        </w:rPr>
        <w:t>כל סמכות או שק"ד מופעלים למטרה מסוימת ובהתבסס על שיקולים מסוימים, הנלמדים מהחוק המסמיך. פעולה של הרשות המבוססת על מטרות או שיקולים הזרים לחוק המסמיך - נחשבת לפעולה מחוץ לתחום סמכותה של הרשות ודינה בטלות</w:t>
      </w:r>
      <w:r>
        <w:rPr>
          <w:rFonts w:hint="cs"/>
          <w:rtl/>
        </w:rPr>
        <w:t>.</w:t>
      </w:r>
    </w:p>
    <w:p w:rsidR="0027640A" w:rsidRDefault="0027640A" w:rsidP="00CB71AC">
      <w:pPr>
        <w:spacing w:line="480" w:lineRule="auto"/>
        <w:jc w:val="both"/>
        <w:rPr>
          <w:rFonts w:hint="cs"/>
          <w:rtl/>
        </w:rPr>
      </w:pPr>
      <w:r>
        <w:rPr>
          <w:rFonts w:hint="cs"/>
          <w:rtl/>
        </w:rPr>
        <w:t xml:space="preserve">סעיף 5(א) לחוק נכסי המדינה קובע כי על הממשלה, או הממונה מטעמה כבמקרה דנן, </w:t>
      </w:r>
      <w:r w:rsidR="00CB71AC">
        <w:rPr>
          <w:rFonts w:hint="cs"/>
          <w:rtl/>
        </w:rPr>
        <w:t xml:space="preserve">בבואה לעשות עיסקאות בנכסי המדינה, לשקול שיקולים של </w:t>
      </w:r>
      <w:r w:rsidR="00CB71AC" w:rsidRPr="00CB71AC">
        <w:rPr>
          <w:rFonts w:hint="cs"/>
          <w:b/>
          <w:bCs/>
          <w:rtl/>
        </w:rPr>
        <w:t>תנאים נאותים</w:t>
      </w:r>
      <w:r w:rsidR="00CB71AC">
        <w:rPr>
          <w:rFonts w:hint="cs"/>
          <w:rtl/>
        </w:rPr>
        <w:t xml:space="preserve">. </w:t>
      </w:r>
      <w:r>
        <w:rPr>
          <w:rFonts w:hint="cs"/>
          <w:rtl/>
        </w:rPr>
        <w:t>דהיינו, החוק המסמיך קובע כי העברת והענקת זכויות, בנידון דידן הכוונה לכספים,  צריכה להעשות תוך קביעת תנאים הנ</w:t>
      </w:r>
      <w:r w:rsidR="00CB71AC">
        <w:rPr>
          <w:rFonts w:hint="cs"/>
          <w:rtl/>
        </w:rPr>
        <w:t xml:space="preserve">ראים בעיני הרשות כנאותים. </w:t>
      </w:r>
      <w:r>
        <w:rPr>
          <w:rFonts w:hint="cs"/>
          <w:rtl/>
        </w:rPr>
        <w:t xml:space="preserve">זהו השיקול שעל הרשות לשקול. </w:t>
      </w:r>
    </w:p>
    <w:p w:rsidR="0027640A" w:rsidRDefault="0027640A" w:rsidP="0027640A">
      <w:pPr>
        <w:spacing w:line="480" w:lineRule="auto"/>
        <w:jc w:val="both"/>
        <w:rPr>
          <w:rFonts w:hint="cs"/>
          <w:rtl/>
        </w:rPr>
      </w:pPr>
    </w:p>
    <w:p w:rsidR="0027640A" w:rsidRDefault="0027640A" w:rsidP="00CB71AC">
      <w:pPr>
        <w:spacing w:line="480" w:lineRule="auto"/>
        <w:jc w:val="both"/>
        <w:rPr>
          <w:rFonts w:hint="cs"/>
          <w:rtl/>
        </w:rPr>
      </w:pPr>
      <w:r>
        <w:rPr>
          <w:rFonts w:hint="cs"/>
          <w:rtl/>
        </w:rPr>
        <w:t>לצד פרסום חוזר החשכ"ל בשנת 1980 פורסם נוהל, אשר מפרט את המטרות שבשלן ובמסגרתם מופעלת הסמכות. דבר זה מלמד כי התנאים שנקבעו בנוהל נעשו לאור מטרות הנראות נא</w:t>
      </w:r>
      <w:r w:rsidR="00CB71AC">
        <w:rPr>
          <w:rFonts w:hint="cs"/>
          <w:rtl/>
        </w:rPr>
        <w:t xml:space="preserve">ותות בעיני הרשות. המטרות הרשומות בנוהל הינן: </w:t>
      </w:r>
    </w:p>
    <w:p w:rsidR="0027640A" w:rsidRPr="00FB6EFB" w:rsidRDefault="0027640A" w:rsidP="004C088B">
      <w:pPr>
        <w:pStyle w:val="a3"/>
        <w:numPr>
          <w:ilvl w:val="0"/>
          <w:numId w:val="7"/>
        </w:numPr>
        <w:spacing w:line="480" w:lineRule="auto"/>
        <w:jc w:val="both"/>
        <w:rPr>
          <w:rFonts w:cs="David" w:hint="cs"/>
          <w:sz w:val="24"/>
          <w:szCs w:val="24"/>
          <w:rtl/>
        </w:rPr>
      </w:pPr>
      <w:r w:rsidRPr="00FB6EFB">
        <w:rPr>
          <w:rFonts w:cs="David" w:hint="eastAsia"/>
          <w:sz w:val="24"/>
          <w:szCs w:val="24"/>
          <w:rtl/>
        </w:rPr>
        <w:t>א</w:t>
      </w:r>
      <w:r w:rsidRPr="00FB6EFB">
        <w:rPr>
          <w:rFonts w:cs="David"/>
          <w:sz w:val="24"/>
          <w:szCs w:val="24"/>
          <w:rtl/>
        </w:rPr>
        <w:t>.</w:t>
      </w:r>
      <w:r w:rsidRPr="00FB6EFB">
        <w:rPr>
          <w:rFonts w:cs="David" w:hint="cs"/>
          <w:sz w:val="24"/>
          <w:szCs w:val="24"/>
          <w:rtl/>
        </w:rPr>
        <w:t xml:space="preserve"> </w:t>
      </w:r>
      <w:r w:rsidRPr="00FB6EFB">
        <w:rPr>
          <w:rFonts w:cs="David"/>
          <w:sz w:val="24"/>
          <w:szCs w:val="24"/>
          <w:rtl/>
        </w:rPr>
        <w:t xml:space="preserve">חסכון בהוצאות כספיות ובדלק תוך פגיעה מינימלית ביעילות העבודה.     </w:t>
      </w:r>
    </w:p>
    <w:p w:rsidR="0027640A" w:rsidRPr="00FB6EFB" w:rsidRDefault="0027640A" w:rsidP="004C088B">
      <w:pPr>
        <w:pStyle w:val="a3"/>
        <w:spacing w:line="480" w:lineRule="auto"/>
        <w:ind w:left="1826"/>
        <w:jc w:val="both"/>
        <w:rPr>
          <w:rFonts w:cs="David" w:hint="cs"/>
          <w:sz w:val="24"/>
          <w:szCs w:val="24"/>
          <w:rtl/>
        </w:rPr>
      </w:pPr>
      <w:r w:rsidRPr="00FB6EFB">
        <w:rPr>
          <w:rFonts w:cs="David" w:hint="eastAsia"/>
          <w:sz w:val="24"/>
          <w:szCs w:val="24"/>
          <w:rtl/>
        </w:rPr>
        <w:lastRenderedPageBreak/>
        <w:t>ב</w:t>
      </w:r>
      <w:r w:rsidRPr="00FB6EFB">
        <w:rPr>
          <w:rFonts w:cs="David"/>
          <w:sz w:val="24"/>
          <w:szCs w:val="24"/>
          <w:rtl/>
        </w:rPr>
        <w:t>.</w:t>
      </w:r>
      <w:r w:rsidRPr="00FB6EFB">
        <w:rPr>
          <w:rFonts w:cs="David" w:hint="cs"/>
          <w:sz w:val="24"/>
          <w:szCs w:val="24"/>
          <w:rtl/>
        </w:rPr>
        <w:t xml:space="preserve"> </w:t>
      </w:r>
      <w:r w:rsidRPr="00FB6EFB">
        <w:rPr>
          <w:rFonts w:cs="David"/>
          <w:sz w:val="24"/>
          <w:szCs w:val="24"/>
          <w:rtl/>
        </w:rPr>
        <w:t xml:space="preserve">שמירת על אמות מידה מוסריות בכל הנוגע </w:t>
      </w:r>
      <w:r w:rsidRPr="00FB6EFB">
        <w:rPr>
          <w:rFonts w:cs="David" w:hint="eastAsia"/>
          <w:sz w:val="24"/>
          <w:szCs w:val="24"/>
          <w:rtl/>
        </w:rPr>
        <w:t>לקבלת</w:t>
      </w:r>
      <w:r w:rsidR="004C088B">
        <w:rPr>
          <w:rFonts w:cs="David"/>
          <w:sz w:val="24"/>
          <w:szCs w:val="24"/>
          <w:rtl/>
        </w:rPr>
        <w:t xml:space="preserve"> </w:t>
      </w:r>
      <w:r w:rsidRPr="00FB6EFB">
        <w:rPr>
          <w:rFonts w:cs="David" w:hint="eastAsia"/>
          <w:sz w:val="24"/>
          <w:szCs w:val="24"/>
          <w:rtl/>
        </w:rPr>
        <w:t>תשלומים</w:t>
      </w:r>
      <w:r w:rsidRPr="00FB6EFB">
        <w:rPr>
          <w:rFonts w:cs="David"/>
          <w:sz w:val="24"/>
          <w:szCs w:val="24"/>
          <w:rtl/>
        </w:rPr>
        <w:t xml:space="preserve"> </w:t>
      </w:r>
      <w:r w:rsidRPr="00FB6EFB">
        <w:rPr>
          <w:rFonts w:cs="David" w:hint="eastAsia"/>
          <w:sz w:val="24"/>
          <w:szCs w:val="24"/>
          <w:rtl/>
        </w:rPr>
        <w:t>עבור</w:t>
      </w:r>
      <w:r w:rsidRPr="00FB6EFB">
        <w:rPr>
          <w:rFonts w:cs="David"/>
          <w:sz w:val="24"/>
          <w:szCs w:val="24"/>
          <w:rtl/>
        </w:rPr>
        <w:t xml:space="preserve"> </w:t>
      </w:r>
      <w:r w:rsidRPr="00FB6EFB">
        <w:rPr>
          <w:rFonts w:cs="David" w:hint="eastAsia"/>
          <w:sz w:val="24"/>
          <w:szCs w:val="24"/>
          <w:rtl/>
        </w:rPr>
        <w:t>נסיעות</w:t>
      </w:r>
      <w:r w:rsidRPr="00FB6EFB">
        <w:rPr>
          <w:rFonts w:cs="David"/>
          <w:sz w:val="24"/>
          <w:szCs w:val="24"/>
          <w:rtl/>
        </w:rPr>
        <w:t xml:space="preserve"> בתפקיד.  </w:t>
      </w:r>
    </w:p>
    <w:p w:rsidR="0027640A" w:rsidRPr="004C088B" w:rsidRDefault="0027640A" w:rsidP="004C088B">
      <w:pPr>
        <w:pStyle w:val="a3"/>
        <w:spacing w:line="480" w:lineRule="auto"/>
        <w:ind w:left="1826"/>
        <w:jc w:val="both"/>
        <w:rPr>
          <w:rFonts w:cs="David" w:hint="cs"/>
          <w:sz w:val="24"/>
          <w:szCs w:val="24"/>
          <w:rtl/>
        </w:rPr>
      </w:pPr>
      <w:r w:rsidRPr="00FB6EFB">
        <w:rPr>
          <w:rFonts w:cs="David" w:hint="eastAsia"/>
          <w:sz w:val="24"/>
          <w:szCs w:val="24"/>
          <w:rtl/>
        </w:rPr>
        <w:t>ג</w:t>
      </w:r>
      <w:r w:rsidRPr="00FB6EFB">
        <w:rPr>
          <w:rFonts w:cs="David"/>
          <w:sz w:val="24"/>
          <w:szCs w:val="24"/>
          <w:rtl/>
        </w:rPr>
        <w:t>.</w:t>
      </w:r>
      <w:r w:rsidRPr="00FB6EFB">
        <w:rPr>
          <w:rFonts w:cs="David" w:hint="cs"/>
          <w:sz w:val="24"/>
          <w:szCs w:val="24"/>
          <w:rtl/>
        </w:rPr>
        <w:t xml:space="preserve"> </w:t>
      </w:r>
      <w:r w:rsidRPr="00FB6EFB">
        <w:rPr>
          <w:rFonts w:cs="David"/>
          <w:sz w:val="24"/>
          <w:szCs w:val="24"/>
          <w:rtl/>
        </w:rPr>
        <w:t xml:space="preserve">ייעול הניהול של המשרדים </w:t>
      </w:r>
      <w:r w:rsidRPr="00FB6EFB">
        <w:rPr>
          <w:rFonts w:cs="David" w:hint="eastAsia"/>
          <w:sz w:val="24"/>
          <w:szCs w:val="24"/>
          <w:rtl/>
        </w:rPr>
        <w:t>ויחידות</w:t>
      </w:r>
      <w:r w:rsidRPr="00FB6EFB">
        <w:rPr>
          <w:rFonts w:cs="David"/>
          <w:sz w:val="24"/>
          <w:szCs w:val="24"/>
          <w:rtl/>
        </w:rPr>
        <w:t xml:space="preserve"> הסמך ע"</w:t>
      </w:r>
      <w:r w:rsidRPr="00FB6EFB">
        <w:rPr>
          <w:rFonts w:cs="David" w:hint="eastAsia"/>
          <w:sz w:val="24"/>
          <w:szCs w:val="24"/>
          <w:rtl/>
        </w:rPr>
        <w:t>י</w:t>
      </w:r>
      <w:r>
        <w:rPr>
          <w:rFonts w:cs="David"/>
          <w:sz w:val="24"/>
          <w:szCs w:val="24"/>
          <w:rtl/>
        </w:rPr>
        <w:t xml:space="preserve"> הקניית סמכות למנהלים לחלק</w:t>
      </w:r>
      <w:r>
        <w:rPr>
          <w:rFonts w:cs="David" w:hint="cs"/>
          <w:sz w:val="24"/>
          <w:szCs w:val="24"/>
          <w:rtl/>
        </w:rPr>
        <w:t xml:space="preserve"> </w:t>
      </w:r>
      <w:r w:rsidRPr="00FB6EFB">
        <w:rPr>
          <w:rFonts w:cs="David"/>
          <w:sz w:val="24"/>
          <w:szCs w:val="24"/>
          <w:rtl/>
        </w:rPr>
        <w:t>משאבים בתחום הרכב עפ"</w:t>
      </w:r>
      <w:r w:rsidRPr="00FB6EFB">
        <w:rPr>
          <w:rFonts w:cs="David" w:hint="eastAsia"/>
          <w:sz w:val="24"/>
          <w:szCs w:val="24"/>
          <w:rtl/>
        </w:rPr>
        <w:t>י</w:t>
      </w:r>
      <w:r w:rsidRPr="00FB6EFB">
        <w:rPr>
          <w:rFonts w:cs="David"/>
          <w:sz w:val="24"/>
          <w:szCs w:val="24"/>
          <w:rtl/>
        </w:rPr>
        <w:t xml:space="preserve"> </w:t>
      </w:r>
      <w:r w:rsidRPr="00FB6EFB">
        <w:rPr>
          <w:rFonts w:cs="David" w:hint="eastAsia"/>
          <w:sz w:val="24"/>
          <w:szCs w:val="24"/>
          <w:rtl/>
        </w:rPr>
        <w:t>הניידות</w:t>
      </w:r>
      <w:r w:rsidRPr="00FB6EFB">
        <w:rPr>
          <w:rFonts w:cs="David"/>
          <w:sz w:val="24"/>
          <w:szCs w:val="24"/>
          <w:rtl/>
        </w:rPr>
        <w:t xml:space="preserve"> של העובדים</w:t>
      </w:r>
      <w:r>
        <w:rPr>
          <w:rFonts w:cs="David"/>
          <w:sz w:val="24"/>
          <w:szCs w:val="24"/>
          <w:rtl/>
        </w:rPr>
        <w:t>, כפי שהם משתנים מעת</w:t>
      </w:r>
      <w:r>
        <w:rPr>
          <w:rFonts w:cs="David" w:hint="cs"/>
          <w:sz w:val="24"/>
          <w:szCs w:val="24"/>
          <w:rtl/>
        </w:rPr>
        <w:t xml:space="preserve"> </w:t>
      </w:r>
      <w:r w:rsidRPr="00FB6EFB">
        <w:rPr>
          <w:rFonts w:cs="David"/>
          <w:sz w:val="24"/>
          <w:szCs w:val="24"/>
          <w:rtl/>
        </w:rPr>
        <w:t>לעת.</w:t>
      </w:r>
      <w:r w:rsidRPr="00FB6EFB">
        <w:rPr>
          <w:rFonts w:ascii="Times New Roman" w:hAnsi="Times New Roman" w:cs="David"/>
          <w:sz w:val="24"/>
          <w:szCs w:val="24"/>
          <w:rtl/>
        </w:rPr>
        <w:t xml:space="preserve"> </w:t>
      </w:r>
    </w:p>
    <w:p w:rsidR="0027640A" w:rsidRPr="00FB6EFB" w:rsidRDefault="0027640A" w:rsidP="0027640A">
      <w:pPr>
        <w:pStyle w:val="a3"/>
        <w:ind w:left="1466"/>
        <w:jc w:val="both"/>
        <w:rPr>
          <w:rFonts w:cs="David"/>
          <w:sz w:val="24"/>
          <w:szCs w:val="24"/>
          <w:rtl/>
        </w:rPr>
      </w:pPr>
      <w:r w:rsidRPr="00F204B7">
        <w:rPr>
          <w:rFonts w:cs="David"/>
          <w:b/>
          <w:bCs/>
          <w:sz w:val="24"/>
          <w:szCs w:val="24"/>
          <w:rtl/>
        </w:rPr>
        <w:t>2.</w:t>
      </w:r>
      <w:r w:rsidRPr="00FB6EFB">
        <w:rPr>
          <w:rFonts w:cs="David" w:hint="cs"/>
          <w:sz w:val="24"/>
          <w:szCs w:val="24"/>
          <w:rtl/>
        </w:rPr>
        <w:t xml:space="preserve"> </w:t>
      </w:r>
      <w:r w:rsidRPr="00FB6EFB">
        <w:rPr>
          <w:rFonts w:cs="David"/>
          <w:sz w:val="24"/>
          <w:szCs w:val="24"/>
          <w:rtl/>
        </w:rPr>
        <w:t xml:space="preserve">הנוהל גובש תוך שאיפה לגרום לשינויים </w:t>
      </w:r>
      <w:r w:rsidRPr="00FB6EFB">
        <w:rPr>
          <w:rFonts w:cs="David" w:hint="eastAsia"/>
          <w:sz w:val="24"/>
          <w:szCs w:val="24"/>
          <w:rtl/>
        </w:rPr>
        <w:t>מעטים</w:t>
      </w:r>
      <w:r w:rsidRPr="00FB6EFB">
        <w:rPr>
          <w:rFonts w:cs="David"/>
          <w:sz w:val="24"/>
          <w:szCs w:val="24"/>
          <w:rtl/>
        </w:rPr>
        <w:t xml:space="preserve"> ככל האפשר בשיטה הקיימת.      </w:t>
      </w:r>
    </w:p>
    <w:p w:rsidR="0027640A" w:rsidRPr="00FB6EFB" w:rsidRDefault="0027640A" w:rsidP="0027640A">
      <w:pPr>
        <w:pStyle w:val="a3"/>
        <w:ind w:left="1466"/>
        <w:jc w:val="both"/>
        <w:rPr>
          <w:rFonts w:cs="David"/>
          <w:sz w:val="24"/>
          <w:szCs w:val="24"/>
          <w:rtl/>
        </w:rPr>
      </w:pPr>
      <w:r w:rsidRPr="00FB6EFB">
        <w:rPr>
          <w:rFonts w:cs="David"/>
          <w:sz w:val="24"/>
          <w:szCs w:val="24"/>
          <w:rtl/>
        </w:rPr>
        <w:t xml:space="preserve">                                                                            </w:t>
      </w:r>
    </w:p>
    <w:p w:rsidR="0027640A" w:rsidRPr="00DA0F92" w:rsidRDefault="0027640A" w:rsidP="0027640A">
      <w:pPr>
        <w:spacing w:line="480" w:lineRule="auto"/>
        <w:ind w:left="1466"/>
        <w:jc w:val="both"/>
        <w:rPr>
          <w:rFonts w:hint="cs"/>
          <w:b/>
          <w:bCs/>
          <w:rtl/>
        </w:rPr>
      </w:pPr>
      <w:r w:rsidRPr="00F204B7">
        <w:rPr>
          <w:rFonts w:hint="cs"/>
          <w:b/>
          <w:bCs/>
          <w:rtl/>
        </w:rPr>
        <w:t>3</w:t>
      </w:r>
      <w:r w:rsidRPr="00F204B7">
        <w:rPr>
          <w:b/>
          <w:bCs/>
          <w:rtl/>
        </w:rPr>
        <w:t>.</w:t>
      </w:r>
      <w:r w:rsidRPr="00FB6EFB">
        <w:rPr>
          <w:rFonts w:hint="cs"/>
          <w:rtl/>
        </w:rPr>
        <w:t xml:space="preserve"> </w:t>
      </w:r>
      <w:r w:rsidRPr="00FB6EFB">
        <w:rPr>
          <w:rtl/>
        </w:rPr>
        <w:t xml:space="preserve">ביסוד הנוהל עומד העיקרון שעל </w:t>
      </w:r>
      <w:r w:rsidRPr="00FB6EFB">
        <w:rPr>
          <w:rFonts w:hint="eastAsia"/>
          <w:rtl/>
        </w:rPr>
        <w:t>המעסיק</w:t>
      </w:r>
      <w:r w:rsidRPr="00FB6EFB">
        <w:rPr>
          <w:rtl/>
        </w:rPr>
        <w:t xml:space="preserve"> להחזיר לעובד הוצאות</w:t>
      </w:r>
      <w:r w:rsidRPr="00FB6EFB">
        <w:rPr>
          <w:rFonts w:hint="cs"/>
          <w:rtl/>
        </w:rPr>
        <w:t xml:space="preserve"> </w:t>
      </w:r>
      <w:r w:rsidRPr="00FB6EFB">
        <w:rPr>
          <w:rFonts w:hint="eastAsia"/>
          <w:rtl/>
        </w:rPr>
        <w:t>שנגרמו</w:t>
      </w:r>
      <w:r>
        <w:rPr>
          <w:rtl/>
        </w:rPr>
        <w:t xml:space="preserve"> ל</w:t>
      </w:r>
      <w:r>
        <w:rPr>
          <w:rFonts w:hint="cs"/>
          <w:rtl/>
        </w:rPr>
        <w:t xml:space="preserve">ו </w:t>
      </w:r>
      <w:r w:rsidRPr="00FB6EFB">
        <w:rPr>
          <w:rFonts w:hint="eastAsia"/>
          <w:rtl/>
        </w:rPr>
        <w:t>תוך</w:t>
      </w:r>
      <w:r>
        <w:rPr>
          <w:rFonts w:hint="cs"/>
          <w:rtl/>
        </w:rPr>
        <w:t xml:space="preserve"> </w:t>
      </w:r>
      <w:r w:rsidRPr="00FB6EFB">
        <w:rPr>
          <w:rtl/>
        </w:rPr>
        <w:t>ביצוע תפקידים חיוניים, ש</w:t>
      </w:r>
      <w:r w:rsidR="00B34F93">
        <w:rPr>
          <w:rtl/>
        </w:rPr>
        <w:t xml:space="preserve">לצורך ביצועם נדרש מהעובד קיומה </w:t>
      </w:r>
      <w:r w:rsidRPr="00FB6EFB">
        <w:rPr>
          <w:rFonts w:hint="eastAsia"/>
          <w:rtl/>
        </w:rPr>
        <w:t>של</w:t>
      </w:r>
      <w:r w:rsidR="00B34F93">
        <w:rPr>
          <w:rtl/>
        </w:rPr>
        <w:t xml:space="preserve"> </w:t>
      </w:r>
      <w:r w:rsidRPr="00FB6EFB">
        <w:rPr>
          <w:rFonts w:hint="eastAsia"/>
          <w:rtl/>
        </w:rPr>
        <w:t>רמת</w:t>
      </w:r>
      <w:r w:rsidRPr="00FB6EFB">
        <w:rPr>
          <w:rtl/>
        </w:rPr>
        <w:t xml:space="preserve"> </w:t>
      </w:r>
      <w:r w:rsidRPr="00FB6EFB">
        <w:rPr>
          <w:rFonts w:hint="eastAsia"/>
          <w:rtl/>
        </w:rPr>
        <w:t>ניידות</w:t>
      </w:r>
      <w:r w:rsidRPr="00FB6EFB">
        <w:rPr>
          <w:rtl/>
        </w:rPr>
        <w:t xml:space="preserve"> מסוימת.     </w:t>
      </w:r>
      <w:r>
        <w:rPr>
          <w:b/>
          <w:bCs/>
          <w:rtl/>
        </w:rPr>
        <w:t xml:space="preserve">                                                          </w:t>
      </w:r>
    </w:p>
    <w:p w:rsidR="0027640A" w:rsidRDefault="00D824B9" w:rsidP="0027640A">
      <w:pPr>
        <w:spacing w:line="480" w:lineRule="auto"/>
        <w:jc w:val="both"/>
        <w:rPr>
          <w:rFonts w:hint="cs"/>
          <w:rtl/>
        </w:rPr>
      </w:pPr>
      <w:r>
        <w:rPr>
          <w:rFonts w:hint="cs"/>
          <w:rtl/>
        </w:rPr>
        <w:t xml:space="preserve">נראה, כי </w:t>
      </w:r>
      <w:r w:rsidR="0027640A">
        <w:rPr>
          <w:rFonts w:hint="cs"/>
          <w:rtl/>
        </w:rPr>
        <w:t xml:space="preserve">מטרות אלו אכן נאותות, ולפיכך לא נראה כי במקרה דנן נשקלו שיקולים זרים ומטרות זרות. </w:t>
      </w:r>
    </w:p>
    <w:p w:rsidR="003A3F0B" w:rsidRDefault="0023552D" w:rsidP="0023552D">
      <w:pPr>
        <w:spacing w:line="480" w:lineRule="auto"/>
        <w:jc w:val="both"/>
        <w:rPr>
          <w:rFonts w:hint="cs"/>
          <w:rtl/>
        </w:rPr>
      </w:pPr>
      <w:r>
        <w:rPr>
          <w:rFonts w:hint="cs"/>
          <w:rtl/>
        </w:rPr>
        <w:t xml:space="preserve">ראוי לציין כי </w:t>
      </w:r>
      <w:r w:rsidR="003A3F0B">
        <w:rPr>
          <w:rFonts w:hint="cs"/>
          <w:rtl/>
        </w:rPr>
        <w:t>בהתבסס על מטרות אלו, יתכן וניתן</w:t>
      </w:r>
      <w:r>
        <w:rPr>
          <w:rFonts w:hint="cs"/>
          <w:rtl/>
        </w:rPr>
        <w:t xml:space="preserve"> יהיה</w:t>
      </w:r>
      <w:r w:rsidR="003A3F0B">
        <w:rPr>
          <w:rFonts w:hint="cs"/>
          <w:rtl/>
        </w:rPr>
        <w:t xml:space="preserve"> לפנות לרשות </w:t>
      </w:r>
      <w:r w:rsidR="003A3F0B" w:rsidRPr="003A3F0B">
        <w:rPr>
          <w:rFonts w:hint="cs"/>
          <w:b/>
          <w:bCs/>
          <w:rtl/>
        </w:rPr>
        <w:t>ב</w:t>
      </w:r>
      <w:r w:rsidR="003A3F0B">
        <w:rPr>
          <w:rFonts w:hint="cs"/>
          <w:b/>
          <w:bCs/>
          <w:rtl/>
        </w:rPr>
        <w:t>דריש</w:t>
      </w:r>
      <w:r w:rsidR="003A3F0B" w:rsidRPr="003A3F0B">
        <w:rPr>
          <w:rFonts w:hint="cs"/>
          <w:b/>
          <w:bCs/>
          <w:rtl/>
        </w:rPr>
        <w:t>ה לקיים את המטרות שהציבה</w:t>
      </w:r>
      <w:r w:rsidR="003A3F0B">
        <w:rPr>
          <w:rFonts w:hint="cs"/>
          <w:rtl/>
        </w:rPr>
        <w:t>. דהיינו, ניתן לראות במטרה "חסכון בהוצאות כספיות ובדלק" כמטרה שבאה לשרת את האינטרס הסביבתי</w:t>
      </w:r>
      <w:r>
        <w:rPr>
          <w:rFonts w:hint="cs"/>
          <w:rtl/>
        </w:rPr>
        <w:t xml:space="preserve">, אף שבאופן עקיף, ולפיכך לטעון כי על הרשות להיות מחוייבת למטרה זו, ולהורות לאורה. </w:t>
      </w:r>
    </w:p>
    <w:p w:rsidR="00183DAF" w:rsidRDefault="00183DAF" w:rsidP="0023552D">
      <w:pPr>
        <w:spacing w:line="480" w:lineRule="auto"/>
        <w:jc w:val="both"/>
        <w:rPr>
          <w:rFonts w:hint="cs"/>
          <w:rtl/>
        </w:rPr>
      </w:pPr>
    </w:p>
    <w:p w:rsidR="006E2F11" w:rsidRDefault="006E2F11" w:rsidP="006E2F11">
      <w:pPr>
        <w:pStyle w:val="2"/>
        <w:rPr>
          <w:rFonts w:hint="cs"/>
          <w:rtl/>
        </w:rPr>
      </w:pPr>
      <w:bookmarkStart w:id="13" w:name="_Toc144716266"/>
      <w:r>
        <w:rPr>
          <w:rFonts w:hint="cs"/>
          <w:rtl/>
        </w:rPr>
        <w:t>סיכום ביניים</w:t>
      </w:r>
      <w:bookmarkEnd w:id="13"/>
    </w:p>
    <w:p w:rsidR="003B4FA9" w:rsidRDefault="003B4FA9" w:rsidP="003B4FA9">
      <w:pPr>
        <w:spacing w:line="480" w:lineRule="auto"/>
        <w:jc w:val="both"/>
        <w:rPr>
          <w:rFonts w:hint="cs"/>
        </w:rPr>
      </w:pPr>
      <w:r>
        <w:rPr>
          <w:rFonts w:hint="cs"/>
          <w:rtl/>
        </w:rPr>
        <w:t>הנחיות החשב הכללי הינן הנחיות מנהליות, ולפיכך עליהן לעמוד בכללי המשפט המנהלי. בעוד שנראה כי החשב הכללי עומד בדרישות המנהליות כגון: כלל ההסדרים הראשוניים, המנהל כנאמן הציבור, כיבוד עקרונות חוקי היסוד, מתן זכות טיעון, איסור פעולה בניגוד עניינים, איסור שיקולים זרים, הרי שיתכן וקיימים פגמים בדרישות מנהליות אחרות. ניתן להצביע על פגמים בעקרונות הבאים: 1. עקרון חוקיות המנהל, זאת לאחר שעיון וחיפוש נרחב ברשומות, לא העלה פרסום</w:t>
      </w:r>
      <w:r w:rsidRPr="007E163F">
        <w:rPr>
          <w:rFonts w:hint="cs"/>
          <w:b/>
          <w:bCs/>
          <w:rtl/>
        </w:rPr>
        <w:t xml:space="preserve"> </w:t>
      </w:r>
      <w:r>
        <w:rPr>
          <w:rFonts w:hint="cs"/>
          <w:rtl/>
        </w:rPr>
        <w:t>האצלת סמכויות של שר האוצר לחשב הכללי בעניין זה. 2. סבירות, כיוון שיתכן והשיקול הסביבתי לא נלקח בחשבון בהנתן ההוראות, או שלא ניתן לשיקול זה המשקל הראוי. 3. מידתיות, לאור הטענה כי ניתן היה למצוא אמצעי שפגיעתו באינטרס הסביבתי פחותה.</w:t>
      </w:r>
      <w:r w:rsidRPr="00CC5D3C">
        <w:rPr>
          <w:rFonts w:hint="cs"/>
          <w:rtl/>
        </w:rPr>
        <w:t xml:space="preserve"> </w:t>
      </w:r>
      <w:r>
        <w:rPr>
          <w:rFonts w:hint="cs"/>
          <w:rtl/>
        </w:rPr>
        <w:t>ראוי לציין כי פעולה העומדת בסתירה לעקרונות אלו יכולה להביא לביטול המעשה המנהלי.</w:t>
      </w:r>
    </w:p>
    <w:p w:rsidR="003B4FA9" w:rsidRPr="003B4FA9" w:rsidRDefault="003B4FA9" w:rsidP="003B4FA9">
      <w:pPr>
        <w:spacing w:line="480" w:lineRule="auto"/>
        <w:rPr>
          <w:rFonts w:hint="cs"/>
          <w:rtl/>
        </w:rPr>
      </w:pPr>
    </w:p>
    <w:p w:rsidR="00F56623" w:rsidRPr="00F56623" w:rsidRDefault="00084C59" w:rsidP="00183DAF">
      <w:pPr>
        <w:pStyle w:val="1"/>
        <w:rPr>
          <w:rFonts w:hint="cs"/>
          <w:rtl/>
        </w:rPr>
      </w:pPr>
      <w:r>
        <w:rPr>
          <w:rtl/>
        </w:rPr>
        <w:br w:type="page"/>
      </w:r>
      <w:bookmarkStart w:id="14" w:name="_Toc144716267"/>
      <w:r w:rsidR="00F56623" w:rsidRPr="00F56623">
        <w:rPr>
          <w:rFonts w:hint="cs"/>
          <w:rtl/>
        </w:rPr>
        <w:lastRenderedPageBreak/>
        <w:t xml:space="preserve">פרק </w:t>
      </w:r>
      <w:r w:rsidR="00183DAF">
        <w:rPr>
          <w:rFonts w:hint="cs"/>
          <w:rtl/>
        </w:rPr>
        <w:t>ב</w:t>
      </w:r>
      <w:r w:rsidR="00302F3D">
        <w:rPr>
          <w:rFonts w:hint="cs"/>
          <w:rtl/>
        </w:rPr>
        <w:t>: הזכות לשוויון</w:t>
      </w:r>
      <w:bookmarkEnd w:id="14"/>
    </w:p>
    <w:p w:rsidR="006E0890" w:rsidRPr="00B4317B" w:rsidRDefault="00C704F5" w:rsidP="007201D5">
      <w:pPr>
        <w:pStyle w:val="NormalWeb"/>
        <w:bidi/>
        <w:spacing w:line="480" w:lineRule="auto"/>
        <w:jc w:val="both"/>
        <w:rPr>
          <w:rFonts w:ascii="Arial" w:hAnsi="Arial" w:cs="David" w:hint="cs"/>
          <w:color w:val="000000"/>
          <w:rtl/>
        </w:rPr>
      </w:pPr>
      <w:r w:rsidRPr="00C704F5">
        <w:rPr>
          <w:rFonts w:ascii="Arial" w:hAnsi="Arial" w:cs="David" w:hint="cs"/>
          <w:color w:val="000000"/>
          <w:rtl/>
        </w:rPr>
        <w:t>בפרק זה</w:t>
      </w:r>
      <w:r>
        <w:rPr>
          <w:rFonts w:ascii="Arial" w:hAnsi="Arial" w:cs="David" w:hint="cs"/>
          <w:color w:val="000000"/>
          <w:rtl/>
        </w:rPr>
        <w:t xml:space="preserve"> נבחן בצורה מעמיקה את שאלת השוויון במקום העבודה. </w:t>
      </w:r>
      <w:r w:rsidR="007201D5">
        <w:rPr>
          <w:rFonts w:ascii="Arial" w:hAnsi="Arial" w:cs="David" w:hint="cs"/>
          <w:color w:val="000000"/>
          <w:rtl/>
        </w:rPr>
        <w:t xml:space="preserve"> נתייחס למעמדו המשפטי של השוויון, היקפו, טיבו וחשיבותו, כפי שהדברים באים לידי ביטוי בישראל, ואף נסקור בקצרה את המצב המשפטי הבינלאומי. </w:t>
      </w:r>
      <w:r>
        <w:rPr>
          <w:rFonts w:ascii="Arial" w:hAnsi="Arial" w:cs="David" w:hint="cs"/>
          <w:color w:val="000000"/>
          <w:rtl/>
        </w:rPr>
        <w:t>בפ</w:t>
      </w:r>
      <w:r w:rsidR="007201D5">
        <w:rPr>
          <w:rFonts w:ascii="Arial" w:hAnsi="Arial" w:cs="David" w:hint="cs"/>
          <w:color w:val="000000"/>
          <w:rtl/>
        </w:rPr>
        <w:t>רק ג</w:t>
      </w:r>
      <w:r>
        <w:rPr>
          <w:rFonts w:ascii="Arial" w:hAnsi="Arial" w:cs="David" w:hint="cs"/>
          <w:color w:val="000000"/>
          <w:rtl/>
        </w:rPr>
        <w:t xml:space="preserve">' </w:t>
      </w:r>
      <w:r w:rsidR="007201D5">
        <w:rPr>
          <w:rFonts w:ascii="Arial" w:hAnsi="Arial" w:cs="David" w:hint="cs"/>
          <w:color w:val="000000"/>
          <w:rtl/>
        </w:rPr>
        <w:t>להלן</w:t>
      </w:r>
      <w:r>
        <w:rPr>
          <w:rFonts w:ascii="Arial" w:hAnsi="Arial" w:cs="David" w:hint="cs"/>
          <w:color w:val="000000"/>
          <w:rtl/>
        </w:rPr>
        <w:t xml:space="preserve"> </w:t>
      </w:r>
      <w:r w:rsidR="007201D5">
        <w:rPr>
          <w:rFonts w:ascii="Arial" w:hAnsi="Arial" w:cs="David" w:hint="cs"/>
          <w:color w:val="000000"/>
          <w:rtl/>
        </w:rPr>
        <w:t>נוכיח</w:t>
      </w:r>
      <w:r>
        <w:rPr>
          <w:rFonts w:ascii="Arial" w:hAnsi="Arial" w:cs="David" w:hint="cs"/>
          <w:color w:val="000000"/>
          <w:rtl/>
        </w:rPr>
        <w:t xml:space="preserve"> כי הוראת החשב הכללי בדבר החזר הוצאות רכב מהווה טובת הנאה, ואינה שונה ממתן משכורת רגילה. לאור הקביעה כי מדובר בשכר לכל דבר, הרי שעלול להווצר מצב בו שני אנשים</w:t>
      </w:r>
      <w:r w:rsidR="004665D1">
        <w:rPr>
          <w:rFonts w:ascii="Arial" w:hAnsi="Arial" w:cs="David" w:hint="cs"/>
          <w:color w:val="000000"/>
          <w:rtl/>
        </w:rPr>
        <w:t xml:space="preserve"> בעלי כישורים זהים,</w:t>
      </w:r>
      <w:r>
        <w:rPr>
          <w:rFonts w:ascii="Arial" w:hAnsi="Arial" w:cs="David" w:hint="cs"/>
          <w:color w:val="000000"/>
          <w:rtl/>
        </w:rPr>
        <w:t xml:space="preserve"> </w:t>
      </w:r>
      <w:r w:rsidR="000C3F61">
        <w:rPr>
          <w:rFonts w:ascii="Arial" w:hAnsi="Arial" w:cs="David" w:hint="cs"/>
          <w:color w:val="000000"/>
          <w:rtl/>
        </w:rPr>
        <w:t>ה</w:t>
      </w:r>
      <w:r w:rsidR="004665D1">
        <w:rPr>
          <w:rFonts w:ascii="Arial" w:hAnsi="Arial" w:cs="David" w:hint="cs"/>
          <w:color w:val="000000"/>
          <w:rtl/>
        </w:rPr>
        <w:t>מבצעים</w:t>
      </w:r>
      <w:r w:rsidR="000C3F61">
        <w:rPr>
          <w:rFonts w:ascii="Arial" w:hAnsi="Arial" w:cs="David" w:hint="cs"/>
          <w:color w:val="000000"/>
          <w:rtl/>
        </w:rPr>
        <w:t xml:space="preserve"> </w:t>
      </w:r>
      <w:r>
        <w:rPr>
          <w:rFonts w:ascii="Arial" w:hAnsi="Arial" w:cs="David" w:hint="cs"/>
          <w:color w:val="000000"/>
          <w:rtl/>
        </w:rPr>
        <w:t>עבודה</w:t>
      </w:r>
      <w:r w:rsidR="000C3F61">
        <w:rPr>
          <w:rFonts w:ascii="Arial" w:hAnsi="Arial" w:cs="David" w:hint="cs"/>
          <w:color w:val="000000"/>
          <w:rtl/>
        </w:rPr>
        <w:t xml:space="preserve"> זהה</w:t>
      </w:r>
      <w:r w:rsidR="004665D1">
        <w:rPr>
          <w:rFonts w:ascii="Arial" w:hAnsi="Arial" w:cs="David" w:hint="cs"/>
          <w:color w:val="000000"/>
          <w:rtl/>
        </w:rPr>
        <w:t xml:space="preserve"> לחלוטין,</w:t>
      </w:r>
      <w:r>
        <w:rPr>
          <w:rFonts w:ascii="Arial" w:hAnsi="Arial" w:cs="David" w:hint="cs"/>
          <w:color w:val="000000"/>
          <w:rtl/>
        </w:rPr>
        <w:t xml:space="preserve"> </w:t>
      </w:r>
      <w:r w:rsidR="000C3F61">
        <w:rPr>
          <w:rFonts w:ascii="Arial" w:hAnsi="Arial" w:cs="David" w:hint="cs"/>
          <w:color w:val="000000"/>
          <w:rtl/>
        </w:rPr>
        <w:t>יקבלו שכר</w:t>
      </w:r>
      <w:r>
        <w:rPr>
          <w:rFonts w:ascii="Arial" w:hAnsi="Arial" w:cs="David" w:hint="cs"/>
          <w:color w:val="000000"/>
          <w:rtl/>
        </w:rPr>
        <w:t xml:space="preserve"> שונה</w:t>
      </w:r>
      <w:r w:rsidR="000C3F61">
        <w:rPr>
          <w:rFonts w:ascii="Arial" w:hAnsi="Arial" w:cs="David" w:hint="cs"/>
          <w:color w:val="000000"/>
          <w:rtl/>
        </w:rPr>
        <w:t xml:space="preserve"> </w:t>
      </w:r>
      <w:r w:rsidR="000C3F61">
        <w:rPr>
          <w:rFonts w:ascii="Arial" w:hAnsi="Arial" w:cs="David"/>
          <w:color w:val="000000"/>
          <w:rtl/>
        </w:rPr>
        <w:t>–</w:t>
      </w:r>
      <w:r w:rsidR="000C3F61">
        <w:rPr>
          <w:rFonts w:ascii="Arial" w:hAnsi="Arial" w:cs="David" w:hint="cs"/>
          <w:color w:val="000000"/>
          <w:rtl/>
        </w:rPr>
        <w:t xml:space="preserve"> לעתים בפער משמעותי ביותר - </w:t>
      </w:r>
      <w:r>
        <w:rPr>
          <w:rFonts w:ascii="Arial" w:hAnsi="Arial" w:cs="David" w:hint="cs"/>
          <w:color w:val="000000"/>
          <w:rtl/>
        </w:rPr>
        <w:t xml:space="preserve"> רק בשל</w:t>
      </w:r>
      <w:r w:rsidR="000C3F61">
        <w:rPr>
          <w:rFonts w:ascii="Arial" w:hAnsi="Arial" w:cs="David" w:hint="cs"/>
          <w:color w:val="000000"/>
          <w:rtl/>
        </w:rPr>
        <w:t xml:space="preserve"> קביעת הקריטריון</w:t>
      </w:r>
      <w:r w:rsidR="004665D1">
        <w:rPr>
          <w:rFonts w:ascii="Arial" w:hAnsi="Arial" w:cs="David" w:hint="cs"/>
          <w:color w:val="000000"/>
          <w:rtl/>
        </w:rPr>
        <w:t xml:space="preserve"> להחזר ההוצאות</w:t>
      </w:r>
      <w:r w:rsidR="00B4317B">
        <w:rPr>
          <w:rFonts w:ascii="Arial" w:hAnsi="Arial" w:cs="David" w:hint="cs"/>
          <w:color w:val="000000"/>
          <w:rtl/>
        </w:rPr>
        <w:t>,</w:t>
      </w:r>
      <w:r w:rsidR="004665D1">
        <w:rPr>
          <w:rFonts w:ascii="Arial" w:hAnsi="Arial" w:cs="David" w:hint="cs"/>
          <w:color w:val="000000"/>
          <w:rtl/>
        </w:rPr>
        <w:t xml:space="preserve"> הדורש הוכחת בעלות על רכב</w:t>
      </w:r>
      <w:r w:rsidR="003B7DBD">
        <w:rPr>
          <w:rFonts w:ascii="Arial" w:hAnsi="Arial" w:cs="David" w:hint="cs"/>
          <w:color w:val="000000"/>
          <w:rtl/>
        </w:rPr>
        <w:t xml:space="preserve"> ורשיון</w:t>
      </w:r>
      <w:r w:rsidR="00BB5DFC">
        <w:rPr>
          <w:rFonts w:ascii="Arial" w:hAnsi="Arial" w:cs="David" w:hint="cs"/>
          <w:color w:val="000000"/>
          <w:rtl/>
        </w:rPr>
        <w:t xml:space="preserve"> נהיגה</w:t>
      </w:r>
      <w:r w:rsidR="003B7DBD">
        <w:rPr>
          <w:rFonts w:ascii="Arial" w:hAnsi="Arial" w:cs="David" w:hint="cs"/>
          <w:color w:val="000000"/>
          <w:rtl/>
        </w:rPr>
        <w:t xml:space="preserve"> בר תוקף</w:t>
      </w:r>
      <w:r w:rsidR="004665D1">
        <w:rPr>
          <w:rFonts w:ascii="Arial" w:hAnsi="Arial" w:cs="David" w:hint="cs"/>
          <w:color w:val="000000"/>
          <w:rtl/>
        </w:rPr>
        <w:t>.</w:t>
      </w:r>
      <w:r w:rsidR="00C3591A">
        <w:rPr>
          <w:rFonts w:ascii="Arial" w:hAnsi="Arial" w:cs="David" w:hint="cs"/>
          <w:color w:val="000000"/>
          <w:rtl/>
        </w:rPr>
        <w:t xml:space="preserve"> </w:t>
      </w:r>
      <w:r w:rsidR="00FF31A0">
        <w:rPr>
          <w:rFonts w:ascii="Arial" w:hAnsi="Arial" w:cs="David" w:hint="cs"/>
          <w:color w:val="000000"/>
          <w:rtl/>
        </w:rPr>
        <w:t>לאור זאת</w:t>
      </w:r>
      <w:r w:rsidR="00204A5A">
        <w:rPr>
          <w:rFonts w:ascii="Arial" w:hAnsi="Arial" w:cs="David" w:hint="cs"/>
          <w:color w:val="000000"/>
          <w:rtl/>
        </w:rPr>
        <w:t>, בפרק זה</w:t>
      </w:r>
      <w:r w:rsidR="00FF31A0">
        <w:rPr>
          <w:rFonts w:ascii="Arial" w:hAnsi="Arial" w:cs="David" w:hint="cs"/>
          <w:color w:val="000000"/>
          <w:rtl/>
        </w:rPr>
        <w:t xml:space="preserve"> נבדוק האם בהוראת החשב הכללי יש משום אפליה פסולה הפוגעת בזכות השוויון.</w:t>
      </w:r>
      <w:r w:rsidR="006E0890">
        <w:rPr>
          <w:rFonts w:ascii="Arial" w:hAnsi="Arial" w:cs="David" w:hint="cs"/>
          <w:color w:val="000000"/>
          <w:rtl/>
        </w:rPr>
        <w:t xml:space="preserve"> נשים דגש על פגיעה</w:t>
      </w:r>
      <w:r w:rsidR="003B7DBD">
        <w:rPr>
          <w:rFonts w:ascii="Arial" w:hAnsi="Arial" w:cs="David" w:hint="cs"/>
          <w:color w:val="000000"/>
          <w:rtl/>
        </w:rPr>
        <w:t xml:space="preserve"> אפשרית בשתי קבוצות: נשים ונכים. הפגיעה</w:t>
      </w:r>
      <w:r w:rsidR="00BB5DFC">
        <w:rPr>
          <w:rFonts w:ascii="Arial" w:hAnsi="Arial" w:cs="David" w:hint="cs"/>
          <w:color w:val="000000"/>
          <w:rtl/>
        </w:rPr>
        <w:t xml:space="preserve"> יכולה לנבוע</w:t>
      </w:r>
      <w:r w:rsidR="003B7DBD">
        <w:rPr>
          <w:rFonts w:ascii="Arial" w:hAnsi="Arial" w:cs="David" w:hint="cs"/>
          <w:color w:val="000000"/>
          <w:rtl/>
        </w:rPr>
        <w:t xml:space="preserve"> </w:t>
      </w:r>
      <w:r w:rsidR="00BB5DFC">
        <w:rPr>
          <w:rFonts w:ascii="Arial" w:hAnsi="Arial" w:cs="David" w:hint="cs"/>
          <w:color w:val="000000"/>
          <w:rtl/>
        </w:rPr>
        <w:t xml:space="preserve">בין השאר </w:t>
      </w:r>
      <w:r w:rsidR="003B7DBD">
        <w:rPr>
          <w:rFonts w:ascii="Arial" w:hAnsi="Arial" w:cs="David" w:hint="cs"/>
          <w:color w:val="000000"/>
          <w:rtl/>
        </w:rPr>
        <w:t>מן הדרישה ל</w:t>
      </w:r>
      <w:r w:rsidR="00BB5DFC">
        <w:rPr>
          <w:rFonts w:ascii="Arial" w:hAnsi="Arial" w:cs="David" w:hint="cs"/>
          <w:color w:val="000000"/>
          <w:rtl/>
        </w:rPr>
        <w:t>הוכחת רשיון נהיגה בר תוקף</w:t>
      </w:r>
      <w:r w:rsidR="003B7DBD">
        <w:rPr>
          <w:rFonts w:ascii="Arial" w:hAnsi="Arial" w:cs="David" w:hint="cs"/>
          <w:color w:val="000000"/>
          <w:rtl/>
        </w:rPr>
        <w:t>, שכן עובד עיוור, למשל,</w:t>
      </w:r>
      <w:r w:rsidR="00CF5E3C">
        <w:rPr>
          <w:rFonts w:ascii="Arial" w:hAnsi="Arial" w:cs="David" w:hint="cs"/>
          <w:color w:val="000000"/>
          <w:rtl/>
        </w:rPr>
        <w:t xml:space="preserve"> אשר אינו יכול לנהוג ברכב,</w:t>
      </w:r>
      <w:r w:rsidR="003B7DBD">
        <w:rPr>
          <w:rFonts w:ascii="Arial" w:hAnsi="Arial" w:cs="David" w:hint="cs"/>
          <w:color w:val="000000"/>
          <w:rtl/>
        </w:rPr>
        <w:t xml:space="preserve"> לעולם לא יוכל לקבל </w:t>
      </w:r>
      <w:r w:rsidR="00CF5E3C">
        <w:rPr>
          <w:rFonts w:ascii="Arial" w:hAnsi="Arial" w:cs="David" w:hint="cs"/>
          <w:color w:val="000000"/>
          <w:rtl/>
        </w:rPr>
        <w:t>שכר</w:t>
      </w:r>
      <w:r w:rsidR="00BB5DFC">
        <w:rPr>
          <w:rFonts w:ascii="Arial" w:hAnsi="Arial" w:cs="David" w:hint="cs"/>
          <w:color w:val="000000"/>
          <w:rtl/>
        </w:rPr>
        <w:t xml:space="preserve"> זהה לזה של עובד </w:t>
      </w:r>
      <w:r w:rsidR="00CF5E3C">
        <w:rPr>
          <w:rFonts w:ascii="Arial" w:hAnsi="Arial" w:cs="David" w:hint="cs"/>
          <w:color w:val="000000"/>
          <w:rtl/>
        </w:rPr>
        <w:t>שאינו עיוור</w:t>
      </w:r>
      <w:r w:rsidR="00BB5DFC">
        <w:rPr>
          <w:rFonts w:ascii="Arial" w:hAnsi="Arial" w:cs="David" w:hint="cs"/>
          <w:color w:val="000000"/>
          <w:rtl/>
        </w:rPr>
        <w:t>, למרות שהשניים מבצעים עבודה זהה לחלוטין. באופן דומה, סיכוייה של אשה לקבל</w:t>
      </w:r>
      <w:r w:rsidR="00CF5E3C">
        <w:rPr>
          <w:rFonts w:ascii="Arial" w:hAnsi="Arial" w:cs="David" w:hint="cs"/>
          <w:color w:val="000000"/>
          <w:rtl/>
        </w:rPr>
        <w:t xml:space="preserve"> את חלק השכר המבטא את</w:t>
      </w:r>
      <w:r w:rsidR="00BB5DFC">
        <w:rPr>
          <w:rFonts w:ascii="Arial" w:hAnsi="Arial" w:cs="David" w:hint="cs"/>
          <w:color w:val="000000"/>
          <w:rtl/>
        </w:rPr>
        <w:t xml:space="preserve"> החזר </w:t>
      </w:r>
      <w:r w:rsidR="00CF5E3C">
        <w:rPr>
          <w:rFonts w:ascii="Arial" w:hAnsi="Arial" w:cs="David" w:hint="cs"/>
          <w:color w:val="000000"/>
          <w:rtl/>
        </w:rPr>
        <w:t>הוצאות הרכב</w:t>
      </w:r>
      <w:r w:rsidR="009A42B5">
        <w:rPr>
          <w:rFonts w:ascii="Arial" w:hAnsi="Arial" w:cs="David" w:hint="cs"/>
          <w:color w:val="000000"/>
          <w:rtl/>
        </w:rPr>
        <w:t xml:space="preserve"> פחותים משמעותית מסי</w:t>
      </w:r>
      <w:r w:rsidR="00BB5DFC">
        <w:rPr>
          <w:rFonts w:ascii="Arial" w:hAnsi="Arial" w:cs="David" w:hint="cs"/>
          <w:color w:val="000000"/>
          <w:rtl/>
        </w:rPr>
        <w:t>כוייו של גבר המבצע עבודה זהה לזו שלה, כיוון שנתונים סטטיסטיים מ</w:t>
      </w:r>
      <w:r w:rsidR="00CF5E3C">
        <w:rPr>
          <w:rFonts w:ascii="Arial" w:hAnsi="Arial" w:cs="David" w:hint="cs"/>
          <w:color w:val="000000"/>
          <w:rtl/>
        </w:rPr>
        <w:t>צביעים על</w:t>
      </w:r>
      <w:r w:rsidR="00BB5DFC">
        <w:rPr>
          <w:rFonts w:ascii="Arial" w:hAnsi="Arial" w:cs="David" w:hint="cs"/>
          <w:color w:val="000000"/>
          <w:rtl/>
        </w:rPr>
        <w:t xml:space="preserve"> פערים משמעותיים בין מספר הגברים המחזיקים ר</w:t>
      </w:r>
      <w:r w:rsidR="005852DA">
        <w:rPr>
          <w:rFonts w:ascii="Arial" w:hAnsi="Arial" w:cs="David" w:hint="cs"/>
          <w:color w:val="000000"/>
          <w:rtl/>
        </w:rPr>
        <w:t>י</w:t>
      </w:r>
      <w:r w:rsidR="00BB5DFC">
        <w:rPr>
          <w:rFonts w:ascii="Arial" w:hAnsi="Arial" w:cs="David" w:hint="cs"/>
          <w:color w:val="000000"/>
          <w:rtl/>
        </w:rPr>
        <w:t>שיון נהיגה לבין מספר הנשים</w:t>
      </w:r>
      <w:r w:rsidR="007E7A2F">
        <w:rPr>
          <w:rStyle w:val="a4"/>
          <w:rFonts w:ascii="Arial" w:hAnsi="Arial" w:cs="David"/>
          <w:color w:val="000000"/>
          <w:rtl/>
        </w:rPr>
        <w:footnoteReference w:id="13"/>
      </w:r>
      <w:r w:rsidR="00BB5DFC">
        <w:rPr>
          <w:rFonts w:ascii="Arial" w:hAnsi="Arial" w:cs="David" w:hint="cs"/>
          <w:color w:val="000000"/>
          <w:rtl/>
        </w:rPr>
        <w:t xml:space="preserve">. </w:t>
      </w:r>
    </w:p>
    <w:p w:rsidR="00C704F5" w:rsidRPr="00485311" w:rsidRDefault="00B655C8" w:rsidP="00084C59">
      <w:pPr>
        <w:pStyle w:val="2"/>
        <w:rPr>
          <w:rFonts w:hint="cs"/>
          <w:rtl/>
        </w:rPr>
      </w:pPr>
      <w:bookmarkStart w:id="15" w:name="_Toc144716268"/>
      <w:r w:rsidRPr="00485311">
        <w:rPr>
          <w:rFonts w:hint="cs"/>
          <w:rtl/>
        </w:rPr>
        <w:t>הזכות לשוויון בעבודה</w:t>
      </w:r>
      <w:bookmarkEnd w:id="15"/>
    </w:p>
    <w:p w:rsidR="00B655C8" w:rsidRPr="00C704F5" w:rsidRDefault="00B655C8" w:rsidP="00FF31A0">
      <w:pPr>
        <w:pStyle w:val="NormalWeb"/>
        <w:bidi/>
        <w:spacing w:line="480" w:lineRule="auto"/>
        <w:jc w:val="both"/>
        <w:rPr>
          <w:rFonts w:ascii="Arial" w:hAnsi="Arial" w:cs="David"/>
          <w:b/>
          <w:bCs/>
          <w:color w:val="000000"/>
          <w:sz w:val="32"/>
          <w:szCs w:val="32"/>
          <w:u w:val="single"/>
          <w:rtl/>
        </w:rPr>
      </w:pPr>
      <w:r>
        <w:rPr>
          <w:rFonts w:ascii="Arial" w:hAnsi="Arial" w:cs="David"/>
          <w:color w:val="000000"/>
          <w:rtl/>
        </w:rPr>
        <w:t>הזכות לשוויון בעבודה</w:t>
      </w:r>
      <w:r w:rsidRPr="00BC1586">
        <w:rPr>
          <w:rFonts w:ascii="Arial" w:hAnsi="Arial" w:cs="David"/>
          <w:color w:val="000000"/>
          <w:rtl/>
        </w:rPr>
        <w:t xml:space="preserve"> קיבלה ביטוי כ</w:t>
      </w:r>
      <w:r>
        <w:rPr>
          <w:rFonts w:ascii="Arial" w:hAnsi="Arial" w:cs="David"/>
          <w:color w:val="000000"/>
          <w:rtl/>
        </w:rPr>
        <w:t>זכות יסוד במערכת המשפט הישראלית</w:t>
      </w:r>
      <w:r>
        <w:rPr>
          <w:rFonts w:ascii="Arial" w:hAnsi="Arial" w:cs="David" w:hint="cs"/>
          <w:color w:val="000000"/>
          <w:rtl/>
        </w:rPr>
        <w:t>, כמו גם במערכת המשפט הבינלאומית.</w:t>
      </w:r>
      <w:r w:rsidRPr="00BC1586">
        <w:rPr>
          <w:rFonts w:ascii="Arial" w:hAnsi="Arial" w:cs="David"/>
          <w:color w:val="000000"/>
          <w:rtl/>
        </w:rPr>
        <w:t> </w:t>
      </w:r>
    </w:p>
    <w:p w:rsidR="00B655C8" w:rsidRPr="00BC1586" w:rsidRDefault="00B655C8" w:rsidP="008E6F7C">
      <w:pPr>
        <w:pStyle w:val="NormalWeb"/>
        <w:bidi/>
        <w:spacing w:line="480" w:lineRule="auto"/>
        <w:jc w:val="both"/>
        <w:rPr>
          <w:rFonts w:ascii="Arial" w:hAnsi="Arial" w:cs="David"/>
          <w:color w:val="000000"/>
          <w:u w:val="single"/>
          <w:rtl/>
        </w:rPr>
      </w:pPr>
      <w:r w:rsidRPr="00BC1586">
        <w:rPr>
          <w:rFonts w:ascii="Arial" w:hAnsi="Arial" w:cs="David"/>
          <w:color w:val="000000"/>
          <w:u w:val="single"/>
          <w:rtl/>
        </w:rPr>
        <w:t xml:space="preserve">בישראל, הזכות לשוויון בעבודה משתקפת בהיררכיה המשפטית </w:t>
      </w:r>
      <w:r w:rsidRPr="00BC1586">
        <w:rPr>
          <w:rFonts w:ascii="Arial" w:hAnsi="Arial" w:cs="David" w:hint="cs"/>
          <w:color w:val="000000"/>
          <w:u w:val="single"/>
          <w:rtl/>
        </w:rPr>
        <w:t>בש</w:t>
      </w:r>
      <w:r>
        <w:rPr>
          <w:rFonts w:ascii="Arial" w:hAnsi="Arial" w:cs="David" w:hint="cs"/>
          <w:color w:val="000000"/>
          <w:u w:val="single"/>
          <w:rtl/>
        </w:rPr>
        <w:t>ני</w:t>
      </w:r>
      <w:r w:rsidRPr="00BC1586">
        <w:rPr>
          <w:rFonts w:ascii="Arial" w:hAnsi="Arial" w:cs="David" w:hint="cs"/>
          <w:color w:val="000000"/>
          <w:u w:val="single"/>
          <w:rtl/>
        </w:rPr>
        <w:t xml:space="preserve"> אופנים</w:t>
      </w:r>
      <w:r>
        <w:rPr>
          <w:rFonts w:ascii="Arial" w:hAnsi="Arial" w:cs="David" w:hint="cs"/>
          <w:color w:val="000000"/>
          <w:u w:val="single"/>
          <w:rtl/>
        </w:rPr>
        <w:t xml:space="preserve"> מרכזיים</w:t>
      </w:r>
      <w:r w:rsidRPr="00BC1586">
        <w:rPr>
          <w:rFonts w:ascii="Arial" w:hAnsi="Arial" w:cs="David"/>
          <w:color w:val="000000"/>
          <w:u w:val="single"/>
          <w:rtl/>
        </w:rPr>
        <w:t>:</w:t>
      </w:r>
    </w:p>
    <w:p w:rsidR="00B655C8" w:rsidRPr="00BC1586" w:rsidRDefault="00B655C8" w:rsidP="008E6F7C">
      <w:pPr>
        <w:pStyle w:val="NormalWeb"/>
        <w:bidi/>
        <w:spacing w:line="480" w:lineRule="auto"/>
        <w:jc w:val="both"/>
        <w:rPr>
          <w:rFonts w:ascii="Arial" w:hAnsi="Arial" w:cs="David" w:hint="cs"/>
          <w:color w:val="000000"/>
          <w:rtl/>
        </w:rPr>
      </w:pPr>
      <w:r w:rsidRPr="00BC1586">
        <w:rPr>
          <w:rFonts w:ascii="Arial" w:hAnsi="Arial" w:cs="David"/>
          <w:color w:val="000000"/>
          <w:rtl/>
        </w:rPr>
        <w:t xml:space="preserve">1. </w:t>
      </w:r>
      <w:r w:rsidR="00FF31A0">
        <w:rPr>
          <w:rFonts w:ascii="Arial" w:hAnsi="Arial" w:cs="David"/>
          <w:color w:val="000000"/>
          <w:rtl/>
        </w:rPr>
        <w:t>מעוגנת כזכות יסוד חוקתית על-חוק</w:t>
      </w:r>
      <w:r w:rsidRPr="00BC1586">
        <w:rPr>
          <w:rFonts w:ascii="Arial" w:hAnsi="Arial" w:cs="David"/>
          <w:color w:val="000000"/>
          <w:rtl/>
        </w:rPr>
        <w:t>ית, הנתמכת בידי חוק יסוד: כבוד האדם וחירותו וחוק יסוד: חופש העיסוק. רמה זו הינה הגבוהה ביותר בהיררכיה המשפטית.</w:t>
      </w:r>
      <w:r>
        <w:rPr>
          <w:rFonts w:ascii="Arial" w:hAnsi="Arial" w:cs="David" w:hint="cs"/>
          <w:color w:val="000000"/>
          <w:rtl/>
        </w:rPr>
        <w:t xml:space="preserve">  בסעיף זה נכליל גם את עיגונה כזכות יסוד הלכתית, אשר הוכרה ופותחה ע"י בתי המשפט.</w:t>
      </w:r>
    </w:p>
    <w:p w:rsidR="00B655C8" w:rsidRPr="00BC1586" w:rsidRDefault="00B655C8" w:rsidP="008E6F7C">
      <w:pPr>
        <w:pStyle w:val="NormalWeb"/>
        <w:bidi/>
        <w:spacing w:line="480" w:lineRule="auto"/>
        <w:jc w:val="both"/>
        <w:rPr>
          <w:rFonts w:ascii="Arial" w:hAnsi="Arial" w:cs="David"/>
          <w:color w:val="000000"/>
          <w:rtl/>
        </w:rPr>
      </w:pPr>
      <w:r w:rsidRPr="00BC1586">
        <w:rPr>
          <w:rFonts w:ascii="Arial" w:hAnsi="Arial" w:cs="David"/>
          <w:color w:val="000000"/>
          <w:rtl/>
        </w:rPr>
        <w:lastRenderedPageBreak/>
        <w:t>2. מעוגנת כזכות יסוד חוקית, כשזו מתגבשת בחקיקה רגילה של הכנסת. דוגמא לכך הינו חוק ש</w:t>
      </w:r>
      <w:r w:rsidRPr="00BC1586">
        <w:rPr>
          <w:rFonts w:ascii="Arial" w:hAnsi="Arial" w:cs="David" w:hint="cs"/>
          <w:color w:val="000000"/>
          <w:rtl/>
        </w:rPr>
        <w:t>כר שווה לעובדת ולעובד</w:t>
      </w:r>
      <w:r w:rsidRPr="00BC1586">
        <w:rPr>
          <w:rFonts w:ascii="Arial" w:hAnsi="Arial" w:cs="David"/>
          <w:color w:val="000000"/>
          <w:rtl/>
        </w:rPr>
        <w:t>.</w:t>
      </w:r>
    </w:p>
    <w:p w:rsidR="00B655C8" w:rsidRDefault="00B655C8" w:rsidP="008E6F7C">
      <w:pPr>
        <w:pStyle w:val="NormalWeb"/>
        <w:bidi/>
        <w:spacing w:line="480" w:lineRule="auto"/>
        <w:jc w:val="both"/>
        <w:rPr>
          <w:rFonts w:ascii="Arial" w:hAnsi="Arial" w:cs="David" w:hint="cs"/>
          <w:color w:val="000000"/>
          <w:rtl/>
        </w:rPr>
      </w:pPr>
      <w:r w:rsidRPr="00BC1586">
        <w:rPr>
          <w:rFonts w:ascii="Arial" w:hAnsi="Arial" w:cs="David"/>
          <w:color w:val="000000"/>
          <w:rtl/>
        </w:rPr>
        <w:t>באופן זה, מתבטא הנשיא ברק בפרשת יונתן דנילוביץ</w:t>
      </w:r>
      <w:r>
        <w:rPr>
          <w:rFonts w:ascii="Arial" w:hAnsi="Arial" w:cs="David" w:hint="cs"/>
          <w:color w:val="000000"/>
          <w:rtl/>
        </w:rPr>
        <w:t>'</w:t>
      </w:r>
      <w:r>
        <w:rPr>
          <w:rStyle w:val="a4"/>
          <w:rFonts w:ascii="Arial" w:hAnsi="Arial" w:cs="David"/>
          <w:color w:val="000000"/>
          <w:rtl/>
        </w:rPr>
        <w:footnoteReference w:id="14"/>
      </w:r>
      <w:r>
        <w:rPr>
          <w:rFonts w:ascii="Arial" w:hAnsi="Arial" w:cs="David" w:hint="cs"/>
          <w:color w:val="000000"/>
          <w:rtl/>
        </w:rPr>
        <w:t>:</w:t>
      </w:r>
      <w:r w:rsidRPr="00BC1586">
        <w:rPr>
          <w:rFonts w:ascii="Arial" w:hAnsi="Arial" w:cs="David"/>
          <w:color w:val="000000"/>
          <w:rtl/>
        </w:rPr>
        <w:t xml:space="preserve"> </w:t>
      </w:r>
    </w:p>
    <w:p w:rsidR="00B655C8" w:rsidRPr="00D824B9" w:rsidRDefault="00B655C8" w:rsidP="008E6F7C">
      <w:pPr>
        <w:pStyle w:val="NormalWeb"/>
        <w:bidi/>
        <w:spacing w:line="480" w:lineRule="auto"/>
        <w:ind w:left="720"/>
        <w:jc w:val="both"/>
        <w:rPr>
          <w:rFonts w:ascii="Arial" w:hAnsi="Arial" w:cs="David"/>
          <w:i/>
          <w:iCs/>
          <w:color w:val="000000"/>
          <w:rtl/>
        </w:rPr>
      </w:pPr>
      <w:r w:rsidRPr="00D824B9">
        <w:rPr>
          <w:rFonts w:ascii="Arial" w:hAnsi="Arial" w:cs="David"/>
          <w:i/>
          <w:iCs/>
          <w:color w:val="000000"/>
          <w:rtl/>
        </w:rPr>
        <w:t>"עקרון השוויון מעוגן בישראל במספר מערכות נורמטיביות... תחילתו בהכרזת העצמאות, הקובעת כי מדינת ישראל תקיים שוויון בין אזרחיה 'בלי הבדלי דת, גזע ומין', והמשכו בדברי חקיקה אשר מגבשים שוויון זה במערכות יחסים מיוחדות".</w:t>
      </w:r>
    </w:p>
    <w:p w:rsidR="00B655C8" w:rsidRPr="00BC1586" w:rsidRDefault="00185A1A" w:rsidP="008E6F7C">
      <w:pPr>
        <w:pStyle w:val="NormalWeb"/>
        <w:bidi/>
        <w:spacing w:line="480" w:lineRule="auto"/>
        <w:jc w:val="both"/>
        <w:rPr>
          <w:rFonts w:ascii="Arial" w:hAnsi="Arial" w:cs="David"/>
          <w:color w:val="000000"/>
          <w:rtl/>
        </w:rPr>
      </w:pPr>
      <w:r>
        <w:rPr>
          <w:rFonts w:ascii="Arial" w:hAnsi="Arial" w:cs="David" w:hint="cs"/>
          <w:color w:val="000000"/>
          <w:rtl/>
        </w:rPr>
        <w:t>נפרט את שני האופנים</w:t>
      </w:r>
      <w:r w:rsidR="00A2421F">
        <w:rPr>
          <w:rFonts w:ascii="Arial" w:hAnsi="Arial" w:cs="David" w:hint="cs"/>
          <w:color w:val="000000"/>
          <w:rtl/>
        </w:rPr>
        <w:t xml:space="preserve"> המרכזיים</w:t>
      </w:r>
      <w:r>
        <w:rPr>
          <w:rFonts w:ascii="Arial" w:hAnsi="Arial" w:cs="David" w:hint="cs"/>
          <w:color w:val="000000"/>
          <w:rtl/>
        </w:rPr>
        <w:t xml:space="preserve"> בהם באה לידי ביטוי הזכות לשוויון </w:t>
      </w:r>
      <w:r w:rsidR="00A2421F">
        <w:rPr>
          <w:rFonts w:ascii="Arial" w:hAnsi="Arial" w:cs="David" w:hint="cs"/>
          <w:color w:val="000000"/>
          <w:rtl/>
        </w:rPr>
        <w:t xml:space="preserve">במשפט </w:t>
      </w:r>
      <w:r>
        <w:rPr>
          <w:rFonts w:ascii="Arial" w:hAnsi="Arial" w:cs="David" w:hint="cs"/>
          <w:color w:val="000000"/>
          <w:rtl/>
        </w:rPr>
        <w:t>בישראל</w:t>
      </w:r>
      <w:r w:rsidR="00B655C8" w:rsidRPr="00BC1586">
        <w:rPr>
          <w:rFonts w:ascii="Arial" w:hAnsi="Arial" w:cs="David"/>
          <w:color w:val="000000"/>
          <w:rtl/>
        </w:rPr>
        <w:t>:</w:t>
      </w:r>
    </w:p>
    <w:p w:rsidR="00B655C8" w:rsidRPr="00BC1586" w:rsidRDefault="00B655C8" w:rsidP="00C364BE">
      <w:pPr>
        <w:pStyle w:val="2"/>
        <w:rPr>
          <w:rtl/>
        </w:rPr>
      </w:pPr>
      <w:bookmarkStart w:id="16" w:name="_Toc144716269"/>
      <w:r w:rsidRPr="00BC1586">
        <w:rPr>
          <w:rtl/>
        </w:rPr>
        <w:t>1. שוויון בעבודה כזכות יסוד חוקתית:</w:t>
      </w:r>
      <w:bookmarkEnd w:id="16"/>
    </w:p>
    <w:p w:rsidR="00B655C8" w:rsidRDefault="00B655C8" w:rsidP="008E6F7C">
      <w:pPr>
        <w:pStyle w:val="NormalWeb"/>
        <w:bidi/>
        <w:spacing w:line="480" w:lineRule="auto"/>
        <w:jc w:val="both"/>
        <w:rPr>
          <w:rFonts w:ascii="Arial" w:hAnsi="Arial" w:cs="David" w:hint="cs"/>
          <w:color w:val="000000"/>
          <w:rtl/>
        </w:rPr>
      </w:pPr>
      <w:r>
        <w:rPr>
          <w:rFonts w:ascii="Arial" w:hAnsi="Arial" w:cs="David"/>
          <w:color w:val="000000"/>
          <w:rtl/>
        </w:rPr>
        <w:t>בשנת 1992 נחקקו 2 חוקי יסוד</w:t>
      </w:r>
      <w:r w:rsidRPr="00BC1586">
        <w:rPr>
          <w:rFonts w:ascii="Arial" w:hAnsi="Arial" w:cs="David"/>
          <w:color w:val="000000"/>
          <w:rtl/>
        </w:rPr>
        <w:t xml:space="preserve"> המסדירים את זכויות האדם: חוק יסוד: כבוד האדם וחירותו</w:t>
      </w:r>
      <w:r>
        <w:rPr>
          <w:rStyle w:val="a4"/>
          <w:rFonts w:ascii="Arial" w:hAnsi="Arial" w:cs="David"/>
          <w:color w:val="000000"/>
          <w:rtl/>
        </w:rPr>
        <w:footnoteReference w:id="15"/>
      </w:r>
      <w:r w:rsidRPr="00BC1586">
        <w:rPr>
          <w:rFonts w:ascii="Arial" w:hAnsi="Arial" w:cs="David"/>
          <w:color w:val="000000"/>
          <w:rtl/>
        </w:rPr>
        <w:t>, וחוק יסוד: חופש העיסוק</w:t>
      </w:r>
      <w:r>
        <w:rPr>
          <w:rStyle w:val="a4"/>
          <w:rFonts w:ascii="Arial" w:hAnsi="Arial" w:cs="David"/>
          <w:color w:val="000000"/>
          <w:rtl/>
        </w:rPr>
        <w:footnoteReference w:id="16"/>
      </w:r>
      <w:r w:rsidRPr="00BC1586">
        <w:rPr>
          <w:rFonts w:ascii="Arial" w:hAnsi="Arial" w:cs="David"/>
          <w:color w:val="000000"/>
          <w:rtl/>
        </w:rPr>
        <w:t>. החל ממועד זה ניתן להקנות לעקרון השוויון בעבודה מעמד של זכות יסוד חוקתית, שכאמור משמעות הדבר הוא העלאת עקרון השוויון לרמה הגבוהה ביותר בהיררכיה של המערכת המשפטית</w:t>
      </w:r>
      <w:r w:rsidRPr="00BC1586">
        <w:rPr>
          <w:rStyle w:val="a4"/>
          <w:rFonts w:ascii="Arial" w:hAnsi="Arial" w:cs="David"/>
          <w:color w:val="000000"/>
          <w:rtl/>
        </w:rPr>
        <w:footnoteReference w:id="17"/>
      </w:r>
      <w:r w:rsidRPr="00BC1586">
        <w:rPr>
          <w:rFonts w:ascii="Arial" w:hAnsi="Arial" w:cs="David"/>
          <w:color w:val="000000"/>
          <w:rtl/>
        </w:rPr>
        <w:t>. בחינה מדוקדקת של שני חוקי היסוד מלמדת כי הללו אינם כוללים זכות יסוד מפורשת המבטיחה את השוויון בעבודה כזכות יסוד חוקתית</w:t>
      </w:r>
      <w:r w:rsidR="00C364BE" w:rsidRPr="00C364BE">
        <w:rPr>
          <w:rStyle w:val="a4"/>
          <w:rFonts w:ascii="Arial" w:hAnsi="Arial"/>
          <w:color w:val="000000"/>
          <w:sz w:val="28"/>
          <w:rtl/>
        </w:rPr>
        <w:footnoteReference w:id="18"/>
      </w:r>
      <w:r w:rsidRPr="00BC1586">
        <w:rPr>
          <w:rFonts w:ascii="Arial" w:hAnsi="Arial" w:cs="David"/>
          <w:color w:val="000000"/>
          <w:rtl/>
        </w:rPr>
        <w:t xml:space="preserve">. </w:t>
      </w:r>
    </w:p>
    <w:p w:rsidR="00B655C8" w:rsidRPr="00BC1586" w:rsidRDefault="00B655C8" w:rsidP="008E6F7C">
      <w:pPr>
        <w:pStyle w:val="NormalWeb"/>
        <w:bidi/>
        <w:spacing w:line="480" w:lineRule="auto"/>
        <w:jc w:val="both"/>
        <w:rPr>
          <w:rFonts w:ascii="Arial" w:hAnsi="Arial" w:cs="David"/>
          <w:color w:val="000000"/>
          <w:rtl/>
        </w:rPr>
      </w:pPr>
      <w:r w:rsidRPr="00BC1586">
        <w:rPr>
          <w:rFonts w:ascii="Arial" w:hAnsi="Arial" w:cs="David"/>
          <w:color w:val="000000"/>
          <w:rtl/>
        </w:rPr>
        <w:t>בנוסף, קיימת הצעת חוק יסוד: זכויות חברתיות</w:t>
      </w:r>
      <w:r>
        <w:rPr>
          <w:rStyle w:val="a4"/>
          <w:rFonts w:ascii="Arial" w:hAnsi="Arial" w:cs="David"/>
          <w:color w:val="000000"/>
          <w:rtl/>
        </w:rPr>
        <w:footnoteReference w:id="19"/>
      </w:r>
      <w:r w:rsidRPr="00BC1586">
        <w:rPr>
          <w:rFonts w:ascii="Arial" w:hAnsi="Arial" w:cs="David"/>
          <w:color w:val="000000"/>
          <w:rtl/>
        </w:rPr>
        <w:t>, שנועדה להקנות לזכויות הקשורות לעבודה מעמד של זכויות יסוד. המקום הטבעי להבטחת השוויון בעבודה כזכות יסוד חוקתית הוא בהצעת חוק יסוד זה, אולם גם הצעה זו לא כוללת הוראה המבטיחה את השוויון בעבודה כזכות יסוד מפורשת, ואפילו איננה מעגנת את עקרון השוויון הכללי.</w:t>
      </w:r>
      <w:r>
        <w:rPr>
          <w:rFonts w:ascii="Arial" w:hAnsi="Arial" w:cs="David" w:hint="cs"/>
          <w:color w:val="000000"/>
          <w:rtl/>
        </w:rPr>
        <w:t xml:space="preserve"> </w:t>
      </w:r>
      <w:r w:rsidRPr="00BC1586">
        <w:rPr>
          <w:rFonts w:ascii="Arial" w:hAnsi="Arial" w:cs="David"/>
          <w:color w:val="000000"/>
          <w:rtl/>
        </w:rPr>
        <w:t xml:space="preserve">חסר זה איננו מקרי, והוא נובע מסיבות היסטוריות ופוליטיות שאין זה המקום להרחיבן. </w:t>
      </w:r>
    </w:p>
    <w:p w:rsidR="00B655C8" w:rsidRPr="00BC1586" w:rsidRDefault="00B655C8" w:rsidP="008E6F7C">
      <w:pPr>
        <w:pStyle w:val="NormalWeb"/>
        <w:bidi/>
        <w:spacing w:line="480" w:lineRule="auto"/>
        <w:jc w:val="both"/>
        <w:rPr>
          <w:rFonts w:ascii="Arial" w:hAnsi="Arial" w:cs="David" w:hint="cs"/>
          <w:color w:val="000000"/>
          <w:rtl/>
        </w:rPr>
      </w:pPr>
      <w:r w:rsidRPr="00BC1586">
        <w:rPr>
          <w:rFonts w:ascii="Arial" w:hAnsi="Arial" w:cs="David"/>
          <w:color w:val="000000"/>
          <w:rtl/>
        </w:rPr>
        <w:t xml:space="preserve">למרות שלא ניתן להכיר בעקרון השוויון כזכות יסוד חוקתית מפורשת, הרי שניתן להכיר בה כזכות יסוד חוקתית המתגבשת מכללא. דהיינו מכירים בזכות זו כאחת מפניה של זכות יסוד </w:t>
      </w:r>
      <w:r w:rsidRPr="00BC1586">
        <w:rPr>
          <w:rFonts w:ascii="Arial" w:hAnsi="Arial" w:cs="David"/>
          <w:color w:val="000000"/>
          <w:rtl/>
        </w:rPr>
        <w:lastRenderedPageBreak/>
        <w:t>אחרת המצויה באופן מפורש בחוקי היסוד, תוך אימוץ דוקטרינת זכויות היסוד הנגזרות</w:t>
      </w:r>
      <w:r w:rsidRPr="00BC1586">
        <w:rPr>
          <w:rStyle w:val="a4"/>
          <w:rFonts w:ascii="Arial" w:hAnsi="Arial" w:cs="David"/>
          <w:color w:val="000000"/>
          <w:rtl/>
        </w:rPr>
        <w:footnoteReference w:id="20"/>
      </w:r>
      <w:r w:rsidRPr="00BC1586">
        <w:rPr>
          <w:rFonts w:ascii="Arial" w:hAnsi="Arial" w:cs="David"/>
          <w:color w:val="000000"/>
          <w:rtl/>
        </w:rPr>
        <w:t>. הנשיא ברק קובע כי מדובר בזכויות מסגרת אשר "הן בעלות פריסה 'פתוחה'", כלומר רשימת זכויות היסוד איננה רשימה סגורה, ו'הפריסה הפתוחה' מאפשרת להרחיב את התכולה החוקתית על התנהגויות נוספות שאינן מפורשות בלשון חוק היסוד.</w:t>
      </w:r>
      <w:r>
        <w:rPr>
          <w:rFonts w:ascii="Arial" w:hAnsi="Arial" w:cs="David" w:hint="cs"/>
          <w:color w:val="000000"/>
          <w:rtl/>
        </w:rPr>
        <w:t xml:space="preserve"> בדרך זו מכירים בשוויון בעבודה כזכות יסוד חוקתית, אשר נגזרת מחוקי יסוד קיימים, כגון חוק יסוד: כבוד האדם וחירותו.</w:t>
      </w:r>
      <w:r w:rsidRPr="00BC1586">
        <w:rPr>
          <w:rFonts w:ascii="Arial" w:hAnsi="Arial" w:cs="David"/>
          <w:color w:val="000000"/>
          <w:rtl/>
        </w:rPr>
        <w:t> ראוי לציין כי בית המשפט העליון ובית הדין לעבודה אמצו את דוקטרינת הזכויות הנגזרות</w:t>
      </w:r>
      <w:r w:rsidRPr="00BC1586">
        <w:rPr>
          <w:rStyle w:val="a4"/>
          <w:rFonts w:ascii="Arial" w:hAnsi="Arial" w:cs="David"/>
          <w:color w:val="000000"/>
          <w:rtl/>
        </w:rPr>
        <w:footnoteReference w:id="21"/>
      </w:r>
      <w:r w:rsidRPr="00BC1586">
        <w:rPr>
          <w:rFonts w:ascii="Arial" w:hAnsi="Arial" w:cs="David"/>
          <w:color w:val="000000"/>
          <w:rtl/>
        </w:rPr>
        <w:t>.</w:t>
      </w:r>
    </w:p>
    <w:p w:rsidR="00B655C8" w:rsidRPr="00802474" w:rsidRDefault="00B655C8" w:rsidP="00F91538">
      <w:pPr>
        <w:pStyle w:val="3"/>
        <w:rPr>
          <w:rFonts w:hint="cs"/>
          <w:rtl/>
        </w:rPr>
      </w:pPr>
      <w:bookmarkStart w:id="17" w:name="_Toc144716270"/>
      <w:r w:rsidRPr="00802474">
        <w:rPr>
          <w:rFonts w:hint="cs"/>
          <w:rtl/>
        </w:rPr>
        <w:t>ההכרה ההלכתית בעקרון השוויון כערך יסוד בחברה הדמוקרטית</w:t>
      </w:r>
      <w:bookmarkEnd w:id="17"/>
    </w:p>
    <w:p w:rsidR="00B655C8" w:rsidRDefault="00B655C8" w:rsidP="008E6F7C">
      <w:pPr>
        <w:spacing w:line="480" w:lineRule="auto"/>
        <w:jc w:val="both"/>
        <w:rPr>
          <w:rFonts w:hint="cs"/>
          <w:rtl/>
        </w:rPr>
      </w:pPr>
      <w:r w:rsidRPr="00BC1586">
        <w:rPr>
          <w:rFonts w:hint="cs"/>
          <w:rtl/>
        </w:rPr>
        <w:t>בחינת הפסיקה הישראלית מלמדת כי ההכרה השיפוטית בעקרון השוויון הכללי היא תוצאה מתחייבת מההכרה בו כערך יסודי של כל חברה דמוקרטית, הנובע במישרין מאופייה וממהותה של מדינת ישראל כמדינה דמוקרטית</w:t>
      </w:r>
      <w:r w:rsidRPr="00BC1586">
        <w:rPr>
          <w:rStyle w:val="a4"/>
          <w:rtl/>
        </w:rPr>
        <w:footnoteReference w:id="22"/>
      </w:r>
      <w:r w:rsidRPr="00BC1586">
        <w:rPr>
          <w:rFonts w:hint="cs"/>
          <w:rtl/>
        </w:rPr>
        <w:t xml:space="preserve">. חשוב לציין כי מעמדו של עקרון השוויון במשפט הישראלי, כערך יסוד דמוקרטי, יונק מהפסיקה שניתנה עוד לפני המהפכה החוקתית, המקנה לו ככזה מעמד של זכות יסוד. </w:t>
      </w:r>
    </w:p>
    <w:p w:rsidR="00B655C8" w:rsidRPr="00BC1586" w:rsidRDefault="00B655C8" w:rsidP="008E6F7C">
      <w:pPr>
        <w:spacing w:line="480" w:lineRule="auto"/>
        <w:jc w:val="both"/>
        <w:rPr>
          <w:rFonts w:hint="cs"/>
          <w:rtl/>
        </w:rPr>
      </w:pPr>
      <w:r w:rsidRPr="00BC1586">
        <w:rPr>
          <w:rFonts w:hint="cs"/>
          <w:rtl/>
        </w:rPr>
        <w:t>במשפט הישראלי ישנה מחוייבות עמוקה לעקרון השוויון, ומיוחסת לו חשיבות רבה. כך למשל, מודגש לא אחת בפסיקה כי עקרון השוויון מוכר כזכות יסוד למרות שאין בישראל חוקה כתובה</w:t>
      </w:r>
      <w:r w:rsidRPr="00BC1586">
        <w:rPr>
          <w:rStyle w:val="a4"/>
          <w:rtl/>
        </w:rPr>
        <w:footnoteReference w:id="23"/>
      </w:r>
      <w:r w:rsidRPr="00BC1586">
        <w:rPr>
          <w:rFonts w:hint="cs"/>
          <w:rtl/>
        </w:rPr>
        <w:t>. יתרה מזו, עקרון השוויון הוכר במשפט הישראלי כאחת ממידות הצדק וההגינות, ומשום כך ההכרה בו כבזכות יסוד איננה מצריכה אפילו עיגון בחקיקה כדי להחילו על תחומי פעילות ציבורית או חברתית</w:t>
      </w:r>
      <w:r w:rsidR="00834CAB">
        <w:rPr>
          <w:rFonts w:hint="cs"/>
          <w:rtl/>
        </w:rPr>
        <w:t>, כבמקרה דנן</w:t>
      </w:r>
      <w:r w:rsidRPr="00BC1586">
        <w:rPr>
          <w:rFonts w:hint="cs"/>
          <w:rtl/>
        </w:rPr>
        <w:t>. כך מסביר השופט מצא</w:t>
      </w:r>
      <w:r w:rsidRPr="00BC1586">
        <w:rPr>
          <w:rStyle w:val="a4"/>
          <w:rtl/>
        </w:rPr>
        <w:footnoteReference w:id="24"/>
      </w:r>
      <w:r w:rsidRPr="00BC1586">
        <w:rPr>
          <w:rFonts w:hint="cs"/>
          <w:rtl/>
        </w:rPr>
        <w:t>:</w:t>
      </w:r>
    </w:p>
    <w:p w:rsidR="00B655C8" w:rsidRPr="00D824B9" w:rsidRDefault="00B655C8" w:rsidP="008E6F7C">
      <w:pPr>
        <w:spacing w:line="480" w:lineRule="auto"/>
        <w:ind w:left="720"/>
        <w:jc w:val="both"/>
        <w:rPr>
          <w:rFonts w:hint="cs"/>
          <w:i/>
          <w:iCs/>
          <w:rtl/>
        </w:rPr>
      </w:pPr>
      <w:r w:rsidRPr="00D824B9">
        <w:rPr>
          <w:rFonts w:hint="cs"/>
          <w:i/>
          <w:iCs/>
          <w:rtl/>
        </w:rPr>
        <w:t>"עקרון השוויון הוכר במשפטנו זה כבר כאחת ממידות הצדק וההגינות שעל פיהן כל רשות ציבורית מצווה לנהוג... ככלל לא נראה מעולם צורך לעגן את עקרון השוויון בחקיקה. לא כל שכן, שלא נתעורר צורך להתוות נוסחאות חקוקות להשלטתו על תחומים כאלה ואחרים של הפעילות הציבורית והחברתית".</w:t>
      </w:r>
    </w:p>
    <w:p w:rsidR="00834CAB" w:rsidRPr="00834CAB" w:rsidRDefault="00834CAB" w:rsidP="00803BB4">
      <w:pPr>
        <w:spacing w:line="480" w:lineRule="auto"/>
        <w:jc w:val="both"/>
        <w:rPr>
          <w:rFonts w:hint="cs"/>
          <w:rtl/>
        </w:rPr>
      </w:pPr>
      <w:r w:rsidRPr="00834CAB">
        <w:rPr>
          <w:rFonts w:hint="cs"/>
          <w:rtl/>
        </w:rPr>
        <w:t>כלומר ה</w:t>
      </w:r>
      <w:r>
        <w:rPr>
          <w:rFonts w:hint="cs"/>
          <w:rtl/>
        </w:rPr>
        <w:t xml:space="preserve">חשב הכללי מצווה לנהוג לאור עקרון השוויון מעצם היותו גוף מנהלי ציבורי, </w:t>
      </w:r>
      <w:r w:rsidR="00803BB4">
        <w:rPr>
          <w:rFonts w:hint="cs"/>
          <w:rtl/>
        </w:rPr>
        <w:t>לאור העובדה</w:t>
      </w:r>
      <w:r>
        <w:rPr>
          <w:rFonts w:hint="cs"/>
          <w:rtl/>
        </w:rPr>
        <w:t xml:space="preserve"> שהשוויון הוכר במשפט הישראלי כאחת ממידות הצדק וההגינות.</w:t>
      </w:r>
    </w:p>
    <w:p w:rsidR="00B655C8" w:rsidRPr="00BC1586" w:rsidRDefault="00B655C8" w:rsidP="008E6F7C">
      <w:pPr>
        <w:spacing w:line="480" w:lineRule="auto"/>
        <w:jc w:val="both"/>
        <w:rPr>
          <w:rFonts w:hint="cs"/>
          <w:rtl/>
        </w:rPr>
      </w:pPr>
    </w:p>
    <w:p w:rsidR="00B655C8" w:rsidRPr="00802474" w:rsidRDefault="00B655C8" w:rsidP="00F91538">
      <w:pPr>
        <w:pStyle w:val="3"/>
        <w:rPr>
          <w:rFonts w:hint="cs"/>
          <w:rtl/>
        </w:rPr>
      </w:pPr>
      <w:bookmarkStart w:id="18" w:name="_Toc144716271"/>
      <w:r w:rsidRPr="00802474">
        <w:rPr>
          <w:rFonts w:hint="cs"/>
          <w:rtl/>
        </w:rPr>
        <w:lastRenderedPageBreak/>
        <w:t>ההכרה בשוויון בעבודה כזכות הלכתית</w:t>
      </w:r>
      <w:bookmarkEnd w:id="18"/>
    </w:p>
    <w:p w:rsidR="00B655C8" w:rsidRPr="00BC1586" w:rsidRDefault="00B655C8" w:rsidP="008E6F7C">
      <w:pPr>
        <w:spacing w:line="480" w:lineRule="auto"/>
        <w:jc w:val="both"/>
        <w:rPr>
          <w:rFonts w:hint="cs"/>
          <w:rtl/>
        </w:rPr>
      </w:pPr>
      <w:r w:rsidRPr="00BC1586">
        <w:rPr>
          <w:rFonts w:hint="cs"/>
          <w:rtl/>
        </w:rPr>
        <w:t xml:space="preserve">ההכרה בשוויון הכללי כבערך יסוד המאפיין את הדמוקרטיה ועל כן מן הראוי לעגנו כזכות יסוד, כשלעצמה, אין בה כדי לבסס את ההכרה בזכות השוויון כבזכות יסוד גם כשמדובר בתחום העבודה. </w:t>
      </w:r>
    </w:p>
    <w:p w:rsidR="00B655C8" w:rsidRPr="00BC1586" w:rsidRDefault="00B655C8" w:rsidP="008E6F7C">
      <w:pPr>
        <w:spacing w:line="480" w:lineRule="auto"/>
        <w:jc w:val="both"/>
        <w:rPr>
          <w:rFonts w:hint="cs"/>
          <w:rtl/>
        </w:rPr>
      </w:pPr>
      <w:r w:rsidRPr="00BC1586">
        <w:rPr>
          <w:rFonts w:hint="cs"/>
          <w:rtl/>
        </w:rPr>
        <w:t>בחינת הפסיקה מלמדת כי עקרון השוויון בעבודה זכה אף הוא להכרה כזכות יסוד, הן בביה"ד לעבודה</w:t>
      </w:r>
      <w:bookmarkStart w:id="19" w:name="_Ref143578989"/>
      <w:r w:rsidRPr="00BC1586">
        <w:rPr>
          <w:rStyle w:val="a4"/>
          <w:rtl/>
        </w:rPr>
        <w:footnoteReference w:id="25"/>
      </w:r>
      <w:bookmarkEnd w:id="19"/>
      <w:r w:rsidRPr="00BC1586">
        <w:rPr>
          <w:rFonts w:hint="cs"/>
          <w:rtl/>
        </w:rPr>
        <w:t xml:space="preserve"> והן בבג"צ</w:t>
      </w:r>
      <w:r w:rsidRPr="00BC1586">
        <w:rPr>
          <w:rStyle w:val="a4"/>
          <w:rtl/>
        </w:rPr>
        <w:footnoteReference w:id="26"/>
      </w:r>
      <w:r w:rsidRPr="00BC1586">
        <w:rPr>
          <w:rFonts w:hint="cs"/>
          <w:rtl/>
        </w:rPr>
        <w:t>.</w:t>
      </w:r>
    </w:p>
    <w:p w:rsidR="00B655C8" w:rsidRPr="00BC1586" w:rsidRDefault="00B655C8" w:rsidP="008E6F7C">
      <w:pPr>
        <w:spacing w:line="480" w:lineRule="auto"/>
        <w:jc w:val="both"/>
        <w:rPr>
          <w:rFonts w:hint="cs"/>
          <w:rtl/>
        </w:rPr>
      </w:pPr>
    </w:p>
    <w:p w:rsidR="00B655C8" w:rsidRPr="00BC1586" w:rsidRDefault="00B655C8" w:rsidP="008E6F7C">
      <w:pPr>
        <w:spacing w:line="480" w:lineRule="auto"/>
        <w:jc w:val="both"/>
        <w:rPr>
          <w:rFonts w:hint="cs"/>
          <w:rtl/>
        </w:rPr>
      </w:pPr>
      <w:r w:rsidRPr="00BC1586">
        <w:rPr>
          <w:rFonts w:hint="cs"/>
          <w:rtl/>
        </w:rPr>
        <w:t>משהוכר השוויון בפסיקה כזכות יסוד הלכתית הרי שהוכר כזכות יסוד חוקתית, כפי שסובר הנשיא ברק. לדידו, בעידן המהפכה החוקתית, נהפכות זכויות היסוד ההלכתיות לזכויות יסוד חוקתיות</w:t>
      </w:r>
      <w:r w:rsidRPr="00BC1586">
        <w:rPr>
          <w:rStyle w:val="a4"/>
          <w:rtl/>
        </w:rPr>
        <w:footnoteReference w:id="27"/>
      </w:r>
      <w:r w:rsidRPr="00BC1586">
        <w:rPr>
          <w:rFonts w:hint="cs"/>
          <w:rtl/>
        </w:rPr>
        <w:t xml:space="preserve">. לדעת הנשיא ברק, זכות המסגרת של </w:t>
      </w:r>
      <w:r w:rsidRPr="00BC1586">
        <w:rPr>
          <w:rFonts w:hint="cs"/>
          <w:b/>
          <w:bCs/>
          <w:rtl/>
        </w:rPr>
        <w:t xml:space="preserve">כבוד האדם </w:t>
      </w:r>
      <w:r w:rsidRPr="00BC1586">
        <w:rPr>
          <w:rFonts w:hint="cs"/>
          <w:rtl/>
        </w:rPr>
        <w:t>היא זו שמשמשת עוגן להכרה בעקרון השוויון כזכות נגזרת. לעומתו, השופט אור תולה את ההכרה בשוויון כזכות יסוד חוקתית בסעיף 1 של חוק יסוד: כבוד האדם וחירותו, שמכוחו יש לכבד את זכויות היסוד ברוח העקרונות שבהכרזה על הקמת מדינת ישראל, הכוללת, כאמור, את המחויבות לשוויון</w:t>
      </w:r>
      <w:r w:rsidRPr="00BC1586">
        <w:rPr>
          <w:rStyle w:val="a4"/>
          <w:rtl/>
        </w:rPr>
        <w:footnoteReference w:id="28"/>
      </w:r>
      <w:r w:rsidRPr="00BC1586">
        <w:rPr>
          <w:rFonts w:hint="cs"/>
          <w:rtl/>
        </w:rPr>
        <w:t>.</w:t>
      </w:r>
    </w:p>
    <w:p w:rsidR="00B655C8" w:rsidRPr="00BC1586" w:rsidRDefault="00B655C8" w:rsidP="008E6F7C">
      <w:pPr>
        <w:spacing w:line="480" w:lineRule="auto"/>
        <w:jc w:val="both"/>
        <w:rPr>
          <w:rFonts w:hint="cs"/>
          <w:rtl/>
        </w:rPr>
      </w:pPr>
    </w:p>
    <w:p w:rsidR="00B655C8" w:rsidRDefault="00B655C8" w:rsidP="008E6F7C">
      <w:pPr>
        <w:spacing w:line="480" w:lineRule="auto"/>
        <w:jc w:val="both"/>
        <w:rPr>
          <w:rFonts w:hint="cs"/>
          <w:rtl/>
        </w:rPr>
      </w:pPr>
      <w:r>
        <w:rPr>
          <w:rFonts w:hint="cs"/>
          <w:rtl/>
        </w:rPr>
        <w:t>בנוסף, כאשר שופט בישראל דן בסוגיה הכרוכה בעקרון השוויון, קיימים מקורות שונים ומסמכי יסוד שונים, אשר אמנם אינם מחייבים את בית המשפט, אך ללא ספק מנחים אותו ומהווים נר לרגליו בפסיקתו</w:t>
      </w:r>
      <w:r>
        <w:rPr>
          <w:rStyle w:val="a4"/>
          <w:rtl/>
        </w:rPr>
        <w:footnoteReference w:id="29"/>
      </w:r>
      <w:r>
        <w:rPr>
          <w:rFonts w:hint="cs"/>
          <w:rtl/>
        </w:rPr>
        <w:t xml:space="preserve">. כאלו הם </w:t>
      </w:r>
      <w:r w:rsidRPr="00DA0809">
        <w:rPr>
          <w:rFonts w:hint="cs"/>
          <w:b/>
          <w:bCs/>
          <w:rtl/>
        </w:rPr>
        <w:t>מסמכים בינלאומיים</w:t>
      </w:r>
      <w:r>
        <w:rPr>
          <w:rFonts w:hint="cs"/>
          <w:rtl/>
        </w:rPr>
        <w:t>: אמנות והכרזות בינלאומיות אשר נעשו נחלתן של כל האומות הנאורות, כדברי ב</w:t>
      </w:r>
      <w:r w:rsidR="00D824B9">
        <w:rPr>
          <w:rFonts w:hint="cs"/>
          <w:rtl/>
        </w:rPr>
        <w:t>ית הדין הארצי לעבודה בפרשת חזין</w:t>
      </w:r>
      <w:r w:rsidR="00D824B9">
        <w:rPr>
          <w:rStyle w:val="a4"/>
          <w:rtl/>
        </w:rPr>
        <w:footnoteReference w:id="30"/>
      </w:r>
      <w:r w:rsidR="00D824B9">
        <w:rPr>
          <w:rFonts w:hint="cs"/>
          <w:rtl/>
        </w:rPr>
        <w:t>.</w:t>
      </w:r>
    </w:p>
    <w:p w:rsidR="006E0890" w:rsidRDefault="006E0890" w:rsidP="006E0890">
      <w:pPr>
        <w:spacing w:line="480" w:lineRule="auto"/>
        <w:jc w:val="both"/>
        <w:rPr>
          <w:rFonts w:hint="cs"/>
          <w:rtl/>
        </w:rPr>
      </w:pPr>
    </w:p>
    <w:p w:rsidR="00B655C8" w:rsidRDefault="00B655C8" w:rsidP="006E0890">
      <w:pPr>
        <w:spacing w:line="480" w:lineRule="auto"/>
        <w:jc w:val="both"/>
        <w:rPr>
          <w:rFonts w:hint="cs"/>
          <w:rtl/>
        </w:rPr>
      </w:pPr>
      <w:r>
        <w:rPr>
          <w:rFonts w:hint="cs"/>
          <w:rtl/>
        </w:rPr>
        <w:t>ישנם מספר מסמכים, המעוגנים במישור הבינלאומי, המשמשים מקור להכרה בעקרון השוויון בכלל ובשוויון בעבודה בפרט, כבזכות יסוד. נסקור בקצרה את המרכזיים שבהם:</w:t>
      </w:r>
    </w:p>
    <w:p w:rsidR="006E0890" w:rsidRDefault="006E0890" w:rsidP="006E0890">
      <w:pPr>
        <w:spacing w:line="480" w:lineRule="auto"/>
        <w:jc w:val="both"/>
        <w:rPr>
          <w:rFonts w:hint="cs"/>
          <w:rtl/>
        </w:rPr>
      </w:pPr>
    </w:p>
    <w:p w:rsidR="00B655C8" w:rsidRDefault="00B655C8" w:rsidP="008E6F7C">
      <w:pPr>
        <w:numPr>
          <w:ilvl w:val="0"/>
          <w:numId w:val="3"/>
        </w:numPr>
        <w:spacing w:line="480" w:lineRule="auto"/>
        <w:jc w:val="both"/>
        <w:rPr>
          <w:rFonts w:hint="cs"/>
        </w:rPr>
      </w:pPr>
      <w:r>
        <w:rPr>
          <w:rFonts w:hint="cs"/>
          <w:rtl/>
        </w:rPr>
        <w:t>ההצהרה האוניברסלית של האומות המאוחדות על זכויות האדם משנת 1948  (</w:t>
      </w:r>
      <w:r>
        <w:t>Universal Declaration of Human Rights</w:t>
      </w:r>
      <w:r>
        <w:rPr>
          <w:rFonts w:hint="cs"/>
          <w:rtl/>
        </w:rPr>
        <w:t>).</w:t>
      </w:r>
    </w:p>
    <w:p w:rsidR="00B655C8" w:rsidRDefault="00B655C8" w:rsidP="008E6F7C">
      <w:pPr>
        <w:spacing w:line="480" w:lineRule="auto"/>
        <w:ind w:left="360" w:firstLine="360"/>
        <w:jc w:val="both"/>
        <w:rPr>
          <w:rFonts w:hint="cs"/>
          <w:rtl/>
        </w:rPr>
      </w:pPr>
      <w:r>
        <w:rPr>
          <w:rFonts w:hint="cs"/>
          <w:rtl/>
        </w:rPr>
        <w:lastRenderedPageBreak/>
        <w:t>סעיף 2 בהצהרה זו קובע כי:</w:t>
      </w:r>
    </w:p>
    <w:p w:rsidR="00B655C8" w:rsidRPr="00F27EAB" w:rsidRDefault="00B655C8" w:rsidP="008E6F7C">
      <w:pPr>
        <w:spacing w:line="480" w:lineRule="auto"/>
        <w:ind w:left="720"/>
        <w:jc w:val="both"/>
        <w:rPr>
          <w:rFonts w:hint="cs"/>
          <w:i/>
          <w:iCs/>
          <w:rtl/>
        </w:rPr>
      </w:pPr>
      <w:r w:rsidRPr="00F27EAB">
        <w:rPr>
          <w:rFonts w:hint="cs"/>
          <w:i/>
          <w:iCs/>
          <w:rtl/>
        </w:rPr>
        <w:t>"כל אדם זכאי לכל הזכויות והחירויות המובטחות בהצהרה, בלא הבחנה מכל סוג שהוא, כגון גזע, צבע עור, מין, שפה, דת, השקפה פוליטית או אחרת, מוצא לאומי או מקור חברתי, רכוש, ייחוס מלידה או סטטוס אחר"</w:t>
      </w:r>
    </w:p>
    <w:p w:rsidR="00B655C8" w:rsidRDefault="00B655C8" w:rsidP="008E6F7C">
      <w:pPr>
        <w:spacing w:line="480" w:lineRule="auto"/>
        <w:ind w:left="360" w:firstLine="360"/>
        <w:jc w:val="both"/>
        <w:rPr>
          <w:rFonts w:hint="cs"/>
          <w:rtl/>
        </w:rPr>
      </w:pPr>
      <w:r>
        <w:rPr>
          <w:rFonts w:hint="cs"/>
          <w:rtl/>
        </w:rPr>
        <w:t>בסעיף 23 להצהרה יש התייחסות מיוחדת לעקרון הזכות לשכר שווה:</w:t>
      </w:r>
    </w:p>
    <w:p w:rsidR="00B655C8" w:rsidRPr="00F27EAB" w:rsidRDefault="00B655C8" w:rsidP="008E6F7C">
      <w:pPr>
        <w:spacing w:line="480" w:lineRule="auto"/>
        <w:ind w:left="720"/>
        <w:jc w:val="both"/>
        <w:rPr>
          <w:rFonts w:hint="cs"/>
          <w:i/>
          <w:iCs/>
          <w:rtl/>
        </w:rPr>
      </w:pPr>
      <w:r w:rsidRPr="00F27EAB">
        <w:rPr>
          <w:rFonts w:hint="cs"/>
          <w:i/>
          <w:iCs/>
          <w:rtl/>
        </w:rPr>
        <w:t>(1)  "לכל איש ואשה יש זכות לעבודה, לבחירה חופשית של עיסוק, לתנאי עבודה הוגנים וצודקים, ולהגנה מפני אבטלה".</w:t>
      </w:r>
    </w:p>
    <w:p w:rsidR="00B655C8" w:rsidRPr="00F27EAB" w:rsidRDefault="00B655C8" w:rsidP="008E6F7C">
      <w:pPr>
        <w:spacing w:line="480" w:lineRule="auto"/>
        <w:ind w:left="720"/>
        <w:jc w:val="both"/>
        <w:rPr>
          <w:rFonts w:hint="cs"/>
          <w:i/>
          <w:iCs/>
          <w:rtl/>
        </w:rPr>
      </w:pPr>
      <w:r w:rsidRPr="00F27EAB">
        <w:rPr>
          <w:rFonts w:hint="cs"/>
          <w:i/>
          <w:iCs/>
          <w:rtl/>
        </w:rPr>
        <w:t>(2) "לכל אחד ואחת, בלא כל הבחנה, יש זכות לשכר שווה בעד עבודה שווה".</w:t>
      </w:r>
    </w:p>
    <w:p w:rsidR="00B655C8" w:rsidRDefault="00B655C8" w:rsidP="008E6F7C">
      <w:pPr>
        <w:spacing w:line="480" w:lineRule="auto"/>
        <w:jc w:val="both"/>
        <w:rPr>
          <w:rFonts w:hint="cs"/>
        </w:rPr>
      </w:pPr>
    </w:p>
    <w:p w:rsidR="00B655C8" w:rsidRDefault="00B655C8" w:rsidP="008E6F7C">
      <w:pPr>
        <w:numPr>
          <w:ilvl w:val="0"/>
          <w:numId w:val="3"/>
        </w:numPr>
        <w:spacing w:line="480" w:lineRule="auto"/>
        <w:jc w:val="both"/>
        <w:rPr>
          <w:rFonts w:hint="cs"/>
        </w:rPr>
      </w:pPr>
      <w:r>
        <w:rPr>
          <w:rFonts w:hint="cs"/>
          <w:rtl/>
        </w:rPr>
        <w:t xml:space="preserve">האמנה הבינלאומית בדבר הזכויות הכלכליות, החברתיות והתרבותיות משנת 1966 </w:t>
      </w:r>
    </w:p>
    <w:p w:rsidR="00B655C8" w:rsidRDefault="00B655C8" w:rsidP="008E6F7C">
      <w:pPr>
        <w:spacing w:line="480" w:lineRule="auto"/>
        <w:ind w:left="360" w:firstLine="360"/>
        <w:jc w:val="both"/>
        <w:rPr>
          <w:rFonts w:hint="cs"/>
          <w:rtl/>
        </w:rPr>
      </w:pPr>
      <w:r>
        <w:rPr>
          <w:rFonts w:hint="cs"/>
          <w:rtl/>
        </w:rPr>
        <w:t>(</w:t>
      </w:r>
      <w:r>
        <w:t>International Covenant on Economic, Social and Cultural Rights</w:t>
      </w:r>
      <w:r>
        <w:rPr>
          <w:rFonts w:hint="cs"/>
          <w:rtl/>
        </w:rPr>
        <w:t>).</w:t>
      </w:r>
    </w:p>
    <w:p w:rsidR="00B655C8" w:rsidRDefault="00B655C8" w:rsidP="008E6F7C">
      <w:pPr>
        <w:spacing w:line="480" w:lineRule="auto"/>
        <w:ind w:left="360" w:firstLine="360"/>
        <w:jc w:val="both"/>
        <w:rPr>
          <w:rFonts w:hint="cs"/>
          <w:rtl/>
        </w:rPr>
      </w:pPr>
      <w:r>
        <w:rPr>
          <w:rFonts w:hint="cs"/>
          <w:rtl/>
        </w:rPr>
        <w:t xml:space="preserve">בסעיף 7(א)(1) לאמנה נקבע כי על המדינות להבטיח: </w:t>
      </w:r>
    </w:p>
    <w:p w:rsidR="00B655C8" w:rsidRPr="00F27EAB" w:rsidRDefault="00B655C8" w:rsidP="008E6F7C">
      <w:pPr>
        <w:spacing w:line="480" w:lineRule="auto"/>
        <w:ind w:left="720"/>
        <w:jc w:val="both"/>
        <w:rPr>
          <w:rFonts w:hint="cs"/>
          <w:i/>
          <w:iCs/>
          <w:rtl/>
        </w:rPr>
      </w:pPr>
      <w:r w:rsidRPr="00F27EAB">
        <w:rPr>
          <w:rFonts w:hint="cs"/>
          <w:i/>
          <w:iCs/>
          <w:rtl/>
        </w:rPr>
        <w:t>"שכר הוגן ותמורה שווה בעבור עבודה שוות ערך מבלי כל הבחנה מכל סוג שהוא, במיוחד כדי להבטיח לנשים תנאי עבודה שאינם נחותים מאלה שמהם נהנים הגברים, כולל שכר שווה בעבור עבודה שווה".</w:t>
      </w:r>
    </w:p>
    <w:p w:rsidR="00B655C8" w:rsidRDefault="00B655C8" w:rsidP="008E6F7C">
      <w:pPr>
        <w:spacing w:line="480" w:lineRule="auto"/>
        <w:ind w:left="720"/>
        <w:jc w:val="both"/>
        <w:rPr>
          <w:rFonts w:hint="cs"/>
          <w:rtl/>
        </w:rPr>
      </w:pPr>
    </w:p>
    <w:p w:rsidR="00B655C8" w:rsidRDefault="00B655C8" w:rsidP="008E6F7C">
      <w:pPr>
        <w:numPr>
          <w:ilvl w:val="0"/>
          <w:numId w:val="3"/>
        </w:numPr>
        <w:spacing w:line="480" w:lineRule="auto"/>
        <w:jc w:val="both"/>
        <w:rPr>
          <w:rFonts w:hint="cs"/>
        </w:rPr>
      </w:pPr>
      <w:r>
        <w:rPr>
          <w:rFonts w:hint="cs"/>
          <w:rtl/>
        </w:rPr>
        <w:t>הצהרת פילדלפיה של ארגון העבודה, משנת 1944, שנעשתה בשנת 1946 חלק מחוקת ארגון העבודה הבינלאומי.</w:t>
      </w:r>
    </w:p>
    <w:p w:rsidR="00B655C8" w:rsidRDefault="00B655C8" w:rsidP="008E6F7C">
      <w:pPr>
        <w:spacing w:line="480" w:lineRule="auto"/>
        <w:ind w:left="720"/>
        <w:jc w:val="both"/>
        <w:rPr>
          <w:rFonts w:hint="cs"/>
          <w:rtl/>
        </w:rPr>
      </w:pPr>
      <w:r>
        <w:rPr>
          <w:rFonts w:hint="cs"/>
          <w:rtl/>
        </w:rPr>
        <w:t xml:space="preserve">בהצהרה זו נקבע כי </w:t>
      </w:r>
      <w:r w:rsidRPr="00F27EAB">
        <w:rPr>
          <w:rFonts w:hint="cs"/>
          <w:i/>
          <w:iCs/>
          <w:rtl/>
        </w:rPr>
        <w:t>"כל בני האדם, בלי הבדל גזע, דת או מין, זכאים לרווחה חומרית ולהתפתחות רוחנית בתנאים של חירות וכבוד, של בטחון כלכלי והזדמנות שווה".</w:t>
      </w:r>
    </w:p>
    <w:p w:rsidR="00B655C8" w:rsidRPr="003F602D" w:rsidRDefault="00B655C8" w:rsidP="008E6F7C">
      <w:pPr>
        <w:spacing w:line="480" w:lineRule="auto"/>
        <w:ind w:left="360"/>
        <w:jc w:val="both"/>
        <w:rPr>
          <w:rFonts w:hint="cs"/>
          <w:b/>
          <w:bCs/>
        </w:rPr>
      </w:pPr>
    </w:p>
    <w:p w:rsidR="00B655C8" w:rsidRDefault="00B655C8" w:rsidP="008E6F7C">
      <w:pPr>
        <w:numPr>
          <w:ilvl w:val="0"/>
          <w:numId w:val="3"/>
        </w:numPr>
        <w:spacing w:line="480" w:lineRule="auto"/>
        <w:jc w:val="both"/>
        <w:rPr>
          <w:rFonts w:hint="cs"/>
        </w:rPr>
      </w:pPr>
      <w:r>
        <w:rPr>
          <w:rFonts w:hint="cs"/>
          <w:rtl/>
        </w:rPr>
        <w:t>אמנת העבודה הבינלאומית בדבר אפליה בעבודה ובמשלח-יד, מס' 111, משנת 1958</w:t>
      </w:r>
      <w:r>
        <w:rPr>
          <w:rStyle w:val="a4"/>
          <w:rtl/>
        </w:rPr>
        <w:footnoteReference w:id="31"/>
      </w:r>
      <w:r>
        <w:rPr>
          <w:rFonts w:hint="cs"/>
          <w:rtl/>
        </w:rPr>
        <w:t>.</w:t>
      </w:r>
    </w:p>
    <w:p w:rsidR="00B655C8" w:rsidRDefault="00B655C8" w:rsidP="008E6F7C">
      <w:pPr>
        <w:spacing w:line="480" w:lineRule="auto"/>
        <w:ind w:left="360" w:firstLine="360"/>
        <w:jc w:val="both"/>
        <w:rPr>
          <w:rFonts w:hint="cs"/>
          <w:rtl/>
        </w:rPr>
      </w:pPr>
      <w:r>
        <w:rPr>
          <w:rFonts w:hint="cs"/>
          <w:rtl/>
        </w:rPr>
        <w:t>האמנה מגדירה בסעיף 1(א) את המושג אפליה בעבודה:</w:t>
      </w:r>
    </w:p>
    <w:p w:rsidR="00B655C8" w:rsidRPr="00F27EAB" w:rsidRDefault="00B655C8" w:rsidP="008E6F7C">
      <w:pPr>
        <w:spacing w:line="480" w:lineRule="auto"/>
        <w:ind w:left="720"/>
        <w:jc w:val="both"/>
        <w:rPr>
          <w:rFonts w:hint="cs"/>
          <w:i/>
          <w:iCs/>
          <w:rtl/>
        </w:rPr>
      </w:pPr>
      <w:r w:rsidRPr="00F27EAB">
        <w:rPr>
          <w:rFonts w:hint="cs"/>
          <w:i/>
          <w:iCs/>
          <w:rtl/>
        </w:rPr>
        <w:t xml:space="preserve">"לעניין אמנה זו, המונח אפליה כולל </w:t>
      </w:r>
      <w:r w:rsidRPr="00F27EAB">
        <w:rPr>
          <w:i/>
          <w:iCs/>
          <w:rtl/>
        </w:rPr>
        <w:t>–</w:t>
      </w:r>
      <w:r w:rsidRPr="00F27EAB">
        <w:rPr>
          <w:rFonts w:hint="cs"/>
          <w:i/>
          <w:iCs/>
          <w:rtl/>
        </w:rPr>
        <w:t xml:space="preserve"> כל הבדלה, הרחקה או עדיפות מטעמי גזע, צבע, מין, דת, השקפה מדינית, מוצא לאומי או מקור חברתי, שיש בהן כדי לשים לאל או לפגום את שוויון הסיכוי או היחס בהעסקה או במשלח-יד"</w:t>
      </w:r>
    </w:p>
    <w:p w:rsidR="00B655C8" w:rsidRDefault="00B655C8" w:rsidP="008E6F7C">
      <w:pPr>
        <w:spacing w:line="480" w:lineRule="auto"/>
        <w:ind w:left="360" w:firstLine="360"/>
        <w:jc w:val="both"/>
        <w:rPr>
          <w:rFonts w:hint="cs"/>
          <w:rtl/>
        </w:rPr>
      </w:pPr>
      <w:r>
        <w:rPr>
          <w:rFonts w:hint="cs"/>
          <w:rtl/>
        </w:rPr>
        <w:t>סעיף 5(2) לאמנה זו משלים את התמונה בקובעו כי:</w:t>
      </w:r>
    </w:p>
    <w:p w:rsidR="00B655C8" w:rsidRPr="00F27EAB" w:rsidRDefault="00B655C8" w:rsidP="008E6F7C">
      <w:pPr>
        <w:spacing w:line="480" w:lineRule="auto"/>
        <w:ind w:left="720"/>
        <w:jc w:val="both"/>
        <w:rPr>
          <w:rFonts w:hint="cs"/>
          <w:i/>
          <w:iCs/>
          <w:rtl/>
        </w:rPr>
      </w:pPr>
      <w:r w:rsidRPr="00F27EAB">
        <w:rPr>
          <w:rFonts w:hint="cs"/>
          <w:i/>
          <w:iCs/>
          <w:rtl/>
        </w:rPr>
        <w:lastRenderedPageBreak/>
        <w:t xml:space="preserve">"כל חבר רשאי, לאחר התייעצות בארגוני מעבידים ועובדים </w:t>
      </w:r>
      <w:r w:rsidRPr="00F27EAB">
        <w:rPr>
          <w:i/>
          <w:iCs/>
          <w:rtl/>
        </w:rPr>
        <w:t>–</w:t>
      </w:r>
      <w:r w:rsidRPr="00F27EAB">
        <w:rPr>
          <w:rFonts w:hint="cs"/>
          <w:i/>
          <w:iCs/>
          <w:rtl/>
        </w:rPr>
        <w:t xml:space="preserve"> מקום שהם קיימים - לקבוע שאמצעים מיוחדים אחרים המכוונים לספק דרישות מיוחדות של בני-אדם, שמטעמי מין, גיל, נכות... זקוקים הם להגנה או לעזרה מיוחדות, לא יהיו רואים אותם בגדר אפליה".</w:t>
      </w:r>
    </w:p>
    <w:p w:rsidR="00B655C8" w:rsidRDefault="00B655C8" w:rsidP="008E6F7C">
      <w:pPr>
        <w:spacing w:line="480" w:lineRule="auto"/>
        <w:ind w:left="720"/>
        <w:jc w:val="both"/>
        <w:rPr>
          <w:rFonts w:hint="cs"/>
          <w:rtl/>
        </w:rPr>
      </w:pPr>
      <w:r>
        <w:rPr>
          <w:rFonts w:hint="cs"/>
          <w:rtl/>
        </w:rPr>
        <w:t>באופן דומה ניתן ללמוד לענייננו, כי קביעת תנאים מיוחדים להבטחת שיווי טובות הנאה בשכרם של הנכים, למשל, לא ייחשב כאפליה פסולה.</w:t>
      </w:r>
    </w:p>
    <w:p w:rsidR="00B655C8" w:rsidRDefault="00B655C8" w:rsidP="008E6F7C">
      <w:pPr>
        <w:spacing w:line="480" w:lineRule="auto"/>
        <w:ind w:left="720"/>
        <w:jc w:val="both"/>
        <w:rPr>
          <w:rFonts w:hint="cs"/>
          <w:rtl/>
        </w:rPr>
      </w:pPr>
      <w:r>
        <w:rPr>
          <w:rFonts w:hint="cs"/>
          <w:rtl/>
        </w:rPr>
        <w:t>עוד ראוי לציין את סעיף 1(ב) לאמנה, הקובע כי:</w:t>
      </w:r>
    </w:p>
    <w:p w:rsidR="00B655C8" w:rsidRPr="006B428D" w:rsidRDefault="00B655C8" w:rsidP="008E6F7C">
      <w:pPr>
        <w:spacing w:line="480" w:lineRule="auto"/>
        <w:ind w:left="720"/>
        <w:jc w:val="both"/>
        <w:rPr>
          <w:rFonts w:hint="cs"/>
          <w:i/>
          <w:iCs/>
          <w:rtl/>
        </w:rPr>
      </w:pPr>
      <w:r w:rsidRPr="006B428D">
        <w:rPr>
          <w:rFonts w:hint="cs"/>
          <w:i/>
          <w:iCs/>
          <w:rtl/>
        </w:rPr>
        <w:t>"כל הבדלה, הרחקה או עדיפות מטעמים אחרים, שיש בהן כדי לשים לאל או לפגום את שוויון הסיכוי והיחס בהעסקה או במשלח-יד, כפי שיקבע על ידי החבר הנוגע בדבר, לאחר התייעצות בארגונים מייצגים של מעבידים ועובדים, מקום שהם קיימים, ובגופים נאותים אחרים".</w:t>
      </w:r>
    </w:p>
    <w:p w:rsidR="00B655C8" w:rsidRDefault="00B655C8" w:rsidP="008E6F7C">
      <w:pPr>
        <w:spacing w:line="480" w:lineRule="auto"/>
        <w:ind w:left="720"/>
        <w:jc w:val="both"/>
        <w:rPr>
          <w:rFonts w:hint="cs"/>
          <w:rtl/>
        </w:rPr>
      </w:pPr>
      <w:r>
        <w:rPr>
          <w:rFonts w:hint="cs"/>
          <w:rtl/>
        </w:rPr>
        <w:t>בהתאם לסעיף זה, ניתן להוסיף טעמים לאיסור אפליה במישור הבינלאומי, וזאת בהתאם להוועצות עם נציגי ארגוני עובדים ומעבידים. קבלת אמנת עבודה בינלאומית היא למעשה היוועצות כנדרש בסעיף זה. זאת, באשר האמנות מתקבלות בארגון העבודה הבינלאומי בהצבעה של נציגים מכל מדינה, המייצגים הן את ארגוני העובדים והמעבידים והן את נציגי הממשלה באותה מדינה. משמעות הדבר היא כי ניתן לעשות שימוש בסעיף זה כדי לאסור אפליה על בסיס נכות.</w:t>
      </w:r>
    </w:p>
    <w:p w:rsidR="00B655C8" w:rsidRPr="00177CC8" w:rsidRDefault="00B655C8" w:rsidP="008E6F7C">
      <w:pPr>
        <w:spacing w:line="480" w:lineRule="auto"/>
        <w:ind w:left="720"/>
        <w:jc w:val="both"/>
        <w:rPr>
          <w:rFonts w:hint="cs"/>
          <w:rtl/>
        </w:rPr>
      </w:pPr>
      <w:r>
        <w:rPr>
          <w:rFonts w:hint="cs"/>
          <w:rtl/>
        </w:rPr>
        <w:t xml:space="preserve">בנוסף, בכל הקשור לבסיס האפליה של נכות, או של מוגבלויות פיזיות ומנטליות, קיימת אמנת העבודה בדבר תעסוקת נכים משנת 1983, אמנה מספר 159, אשר נועדה לחסל את אפליית הנכים. אמנה זו גם היא מאפשרת להעניק זכויות מיוחדות להעסקת נכים, מבלי שהן תחשבנה להפרה של עקרון השוויון.  </w:t>
      </w:r>
    </w:p>
    <w:p w:rsidR="00B655C8" w:rsidRPr="00574435" w:rsidRDefault="00B655C8" w:rsidP="008E6F7C">
      <w:pPr>
        <w:spacing w:line="480" w:lineRule="auto"/>
        <w:ind w:left="720"/>
        <w:jc w:val="both"/>
        <w:rPr>
          <w:rFonts w:hint="cs"/>
        </w:rPr>
      </w:pPr>
    </w:p>
    <w:p w:rsidR="00B655C8" w:rsidRDefault="00B655C8" w:rsidP="008E6F7C">
      <w:pPr>
        <w:numPr>
          <w:ilvl w:val="0"/>
          <w:numId w:val="3"/>
        </w:numPr>
        <w:spacing w:line="480" w:lineRule="auto"/>
        <w:jc w:val="both"/>
        <w:rPr>
          <w:rFonts w:hint="cs"/>
        </w:rPr>
      </w:pPr>
      <w:r>
        <w:rPr>
          <w:rFonts w:hint="cs"/>
          <w:rtl/>
        </w:rPr>
        <w:t>המלצת העבודה הבינלאומית בדבר אפליה בעבודה ובמשלח-יד, מס' 111, משנת 1958.</w:t>
      </w:r>
    </w:p>
    <w:p w:rsidR="00B655C8" w:rsidRPr="009012CB" w:rsidRDefault="00B655C8" w:rsidP="008E6F7C">
      <w:pPr>
        <w:spacing w:line="480" w:lineRule="auto"/>
        <w:ind w:left="360" w:firstLine="360"/>
        <w:jc w:val="both"/>
        <w:rPr>
          <w:rFonts w:hint="cs"/>
          <w:rtl/>
        </w:rPr>
      </w:pPr>
      <w:r>
        <w:rPr>
          <w:rFonts w:hint="cs"/>
          <w:rtl/>
        </w:rPr>
        <w:t>במסמך זה נקבעו ההמלצות הקשורות לאמנת העבודה הבינלאומית, המצויינת לעיל.</w:t>
      </w:r>
    </w:p>
    <w:p w:rsidR="00B655C8" w:rsidRPr="00BC1586" w:rsidRDefault="00B655C8" w:rsidP="008E6F7C">
      <w:pPr>
        <w:spacing w:line="480" w:lineRule="auto"/>
        <w:jc w:val="both"/>
        <w:rPr>
          <w:rFonts w:hint="cs"/>
          <w:rtl/>
        </w:rPr>
      </w:pPr>
    </w:p>
    <w:p w:rsidR="00B655C8" w:rsidRPr="00AC4C85" w:rsidRDefault="00B655C8" w:rsidP="00F91538">
      <w:pPr>
        <w:pStyle w:val="3"/>
        <w:rPr>
          <w:rFonts w:hint="cs"/>
          <w:rtl/>
        </w:rPr>
      </w:pPr>
      <w:bookmarkStart w:id="20" w:name="_Toc144716272"/>
      <w:r w:rsidRPr="00AC4C85">
        <w:rPr>
          <w:rFonts w:hint="cs"/>
          <w:rtl/>
        </w:rPr>
        <w:t>תוכן השוויון</w:t>
      </w:r>
      <w:bookmarkEnd w:id="20"/>
    </w:p>
    <w:p w:rsidR="00B655C8" w:rsidRDefault="00B655C8" w:rsidP="003A11E2">
      <w:pPr>
        <w:spacing w:line="480" w:lineRule="auto"/>
        <w:jc w:val="both"/>
        <w:rPr>
          <w:rFonts w:hint="cs"/>
          <w:rtl/>
        </w:rPr>
      </w:pPr>
      <w:r w:rsidRPr="00BC1586">
        <w:rPr>
          <w:rFonts w:hint="cs"/>
          <w:rtl/>
        </w:rPr>
        <w:t xml:space="preserve">עצם ההכרה בשוויון התעסוקתי כזכות יסוד חוקתית על-חוקית עדיין איננה מבהירה את טיבם של הטעמים האסורים לאפליה במסגרתה. לא ברור מעצם ההכרה בזכות החוקתית, מהם פניו של </w:t>
      </w:r>
      <w:r w:rsidRPr="00BC1586">
        <w:rPr>
          <w:rFonts w:hint="cs"/>
          <w:rtl/>
        </w:rPr>
        <w:lastRenderedPageBreak/>
        <w:t>השוויון המובטח</w:t>
      </w:r>
      <w:r w:rsidR="00AE7771">
        <w:rPr>
          <w:rFonts w:hint="cs"/>
          <w:rtl/>
        </w:rPr>
        <w:t>, למשל בנוגע לשאלה ה</w:t>
      </w:r>
      <w:r w:rsidRPr="00BC1586">
        <w:rPr>
          <w:rFonts w:hint="cs"/>
          <w:rtl/>
        </w:rPr>
        <w:t>אם מובטח במסגרתה שוויון ביחס או גם שוויון בתוצאות</w:t>
      </w:r>
      <w:r w:rsidR="00AE7771">
        <w:rPr>
          <w:rFonts w:hint="cs"/>
          <w:rtl/>
        </w:rPr>
        <w:t>.</w:t>
      </w:r>
      <w:r w:rsidRPr="00BC1586">
        <w:rPr>
          <w:rFonts w:hint="cs"/>
          <w:rtl/>
        </w:rPr>
        <w:t xml:space="preserve"> </w:t>
      </w:r>
    </w:p>
    <w:p w:rsidR="00B655C8" w:rsidRPr="00BC1586" w:rsidRDefault="00B655C8" w:rsidP="008E6F7C">
      <w:pPr>
        <w:spacing w:line="480" w:lineRule="auto"/>
        <w:jc w:val="both"/>
        <w:rPr>
          <w:rFonts w:hint="cs"/>
          <w:rtl/>
        </w:rPr>
      </w:pPr>
      <w:r w:rsidRPr="00BC1586">
        <w:rPr>
          <w:rFonts w:hint="cs"/>
          <w:rtl/>
        </w:rPr>
        <w:t xml:space="preserve"> </w:t>
      </w:r>
    </w:p>
    <w:p w:rsidR="00B655C8" w:rsidRPr="00F91538" w:rsidRDefault="00B655C8" w:rsidP="00F91538">
      <w:pPr>
        <w:pStyle w:val="3"/>
        <w:rPr>
          <w:rFonts w:hint="cs"/>
          <w:rtl/>
        </w:rPr>
      </w:pPr>
      <w:bookmarkStart w:id="21" w:name="_Toc144716273"/>
      <w:r w:rsidRPr="00F91538">
        <w:rPr>
          <w:rFonts w:hint="cs"/>
          <w:rtl/>
        </w:rPr>
        <w:t>הטעמים לאיסור אפליה:</w:t>
      </w:r>
      <w:bookmarkEnd w:id="21"/>
    </w:p>
    <w:p w:rsidR="00B655C8" w:rsidRPr="00BC1586" w:rsidRDefault="00B655C8" w:rsidP="008E6F7C">
      <w:pPr>
        <w:spacing w:line="480" w:lineRule="auto"/>
        <w:jc w:val="both"/>
        <w:rPr>
          <w:rFonts w:hint="cs"/>
          <w:rtl/>
        </w:rPr>
      </w:pPr>
      <w:r w:rsidRPr="00BC1586">
        <w:rPr>
          <w:rFonts w:hint="cs"/>
          <w:rtl/>
        </w:rPr>
        <w:t>קביעת הטעמים האסורים לאפליה בזכות היסוד החוקתית, מחייבת לבחון את השאלה בהיבט של זכות האדם לשוויון</w:t>
      </w:r>
      <w:r>
        <w:rPr>
          <w:rFonts w:hint="cs"/>
          <w:rtl/>
        </w:rPr>
        <w:t xml:space="preserve"> בעבודה. הנחת היסוד שפותחה </w:t>
      </w:r>
      <w:r w:rsidRPr="00BC1586">
        <w:rPr>
          <w:rFonts w:hint="cs"/>
          <w:rtl/>
        </w:rPr>
        <w:t>בהקשר זה</w:t>
      </w:r>
      <w:r>
        <w:rPr>
          <w:rFonts w:hint="cs"/>
          <w:rtl/>
        </w:rPr>
        <w:t>,</w:t>
      </w:r>
      <w:r w:rsidRPr="00BC1586">
        <w:rPr>
          <w:rFonts w:hint="cs"/>
          <w:rtl/>
        </w:rPr>
        <w:t xml:space="preserve"> מלמדת כי כל מדינה יכולה להרחיב את הגרעין הנוקשה המוסדר בזכות האדם החברתית האוניברסלית לשוויון בעבודה, אבל אינה יכולה לגרוע ממנו מבלי שהיא תחשב למפרה את זכויות האדם האוניברסליות. אפשר אפוא לומר כי שבעת הטעמים לאיסור אפליה, המוסדרים באמנת העבודה מס' 111, התוחמת את השוויון בעבודה כזכות אדם חברתית אוניברסלית,</w:t>
      </w:r>
      <w:r>
        <w:rPr>
          <w:rFonts w:hint="cs"/>
          <w:rtl/>
        </w:rPr>
        <w:t xml:space="preserve"> כמוזכר לעיל,</w:t>
      </w:r>
      <w:r w:rsidRPr="00BC1586">
        <w:rPr>
          <w:rFonts w:hint="cs"/>
          <w:rtl/>
        </w:rPr>
        <w:t xml:space="preserve"> נכללים במקביל </w:t>
      </w:r>
      <w:r w:rsidRPr="00B04161">
        <w:rPr>
          <w:rFonts w:hint="cs"/>
          <w:b/>
          <w:bCs/>
          <w:rtl/>
        </w:rPr>
        <w:t>כמינימום הכרחי</w:t>
      </w:r>
      <w:r w:rsidRPr="00BC1586">
        <w:rPr>
          <w:rFonts w:hint="cs"/>
          <w:rtl/>
        </w:rPr>
        <w:t xml:space="preserve"> גם בזכות היסוד החוקתית לשוויון בעבודה המוסדרת במשפט הישראלי. מכאן, שהזכות החוקתית מחזיקה מכח טיעון זה את הטעמים הבאים כטעמים אסורים לאפליה: גזע, צבע, עור, מין, דת, השקפה פוליטית ומוצא לאומי. </w:t>
      </w:r>
    </w:p>
    <w:p w:rsidR="00B655C8" w:rsidRPr="00BC1586" w:rsidRDefault="00B655C8" w:rsidP="008E6F7C">
      <w:pPr>
        <w:spacing w:line="480" w:lineRule="auto"/>
        <w:jc w:val="both"/>
        <w:rPr>
          <w:rFonts w:hint="cs"/>
          <w:rtl/>
        </w:rPr>
      </w:pPr>
      <w:r w:rsidRPr="00BC1586">
        <w:rPr>
          <w:rFonts w:hint="cs"/>
          <w:rtl/>
        </w:rPr>
        <w:t>רשימת הטעמים האסורים לאפליה במסגרת זכות האדם איננה רשימה סגורה, ו</w:t>
      </w:r>
      <w:r>
        <w:rPr>
          <w:rFonts w:hint="cs"/>
          <w:rtl/>
        </w:rPr>
        <w:t xml:space="preserve">כאמור </w:t>
      </w:r>
      <w:r w:rsidRPr="00BC1586">
        <w:rPr>
          <w:rFonts w:hint="cs"/>
          <w:rtl/>
        </w:rPr>
        <w:t>טעמים נוספים האסורים לאפליה הוספו בסעיף 5(2) לאמנת העבודה מס' 111, דבר המאפשר להקנות זכויות מיוחדות לקבוצות מעמד חברתי נזקקות. כך למשל, נאסר</w:t>
      </w:r>
      <w:r>
        <w:rPr>
          <w:rFonts w:hint="cs"/>
          <w:rtl/>
        </w:rPr>
        <w:t>ת</w:t>
      </w:r>
      <w:r w:rsidRPr="00BC1586">
        <w:rPr>
          <w:rFonts w:hint="cs"/>
          <w:rtl/>
        </w:rPr>
        <w:t xml:space="preserve"> אפליה מטעמים של</w:t>
      </w:r>
      <w:r>
        <w:rPr>
          <w:rFonts w:hint="cs"/>
          <w:rtl/>
        </w:rPr>
        <w:t xml:space="preserve"> מוגבלויות פיזיות ומנטליות מכח </w:t>
      </w:r>
      <w:r w:rsidRPr="00BC1586">
        <w:rPr>
          <w:rFonts w:hint="cs"/>
          <w:rtl/>
        </w:rPr>
        <w:t xml:space="preserve">אמנה </w:t>
      </w:r>
      <w:r>
        <w:rPr>
          <w:rFonts w:hint="cs"/>
          <w:rtl/>
        </w:rPr>
        <w:t xml:space="preserve">בדבר תעסוקת נכים, מספר 159, המוזכרת לעיל. </w:t>
      </w:r>
    </w:p>
    <w:p w:rsidR="00B655C8" w:rsidRDefault="002231EC" w:rsidP="002231EC">
      <w:pPr>
        <w:spacing w:line="480" w:lineRule="auto"/>
        <w:jc w:val="both"/>
        <w:rPr>
          <w:rFonts w:hint="cs"/>
          <w:rtl/>
        </w:rPr>
      </w:pPr>
      <w:r>
        <w:rPr>
          <w:rFonts w:hint="cs"/>
          <w:rtl/>
        </w:rPr>
        <w:t>אם כן, במקרה דנן ניתן לראות כי מכח זכות היסוד החוקתית לשוויון בישראל, אסורה אפליית נשים כמו גם אפליית נכים.</w:t>
      </w:r>
    </w:p>
    <w:p w:rsidR="002231EC" w:rsidRPr="00BC1586" w:rsidRDefault="002231EC" w:rsidP="008E6F7C">
      <w:pPr>
        <w:spacing w:line="480" w:lineRule="auto"/>
        <w:jc w:val="both"/>
        <w:rPr>
          <w:rFonts w:hint="cs"/>
          <w:rtl/>
        </w:rPr>
      </w:pPr>
    </w:p>
    <w:p w:rsidR="00B655C8" w:rsidRPr="00F91538" w:rsidRDefault="00B655C8" w:rsidP="00F91538">
      <w:pPr>
        <w:pStyle w:val="3"/>
        <w:rPr>
          <w:rFonts w:hint="cs"/>
          <w:rtl/>
        </w:rPr>
      </w:pPr>
      <w:bookmarkStart w:id="22" w:name="_Toc144716274"/>
      <w:r w:rsidRPr="00F91538">
        <w:rPr>
          <w:rFonts w:hint="cs"/>
          <w:rtl/>
        </w:rPr>
        <w:t>מהות השוויון:</w:t>
      </w:r>
      <w:bookmarkEnd w:id="22"/>
    </w:p>
    <w:p w:rsidR="00802474" w:rsidRDefault="00B655C8" w:rsidP="00207722">
      <w:pPr>
        <w:spacing w:line="480" w:lineRule="auto"/>
        <w:jc w:val="both"/>
        <w:rPr>
          <w:rFonts w:hint="cs"/>
          <w:rtl/>
        </w:rPr>
      </w:pPr>
      <w:r w:rsidRPr="00BC1586">
        <w:rPr>
          <w:rFonts w:hint="cs"/>
          <w:rtl/>
        </w:rPr>
        <w:t xml:space="preserve">מהות השוויון בעבודה, המובטח כזכות יסוד, היא רחבה ומכילה בתוכה גם את </w:t>
      </w:r>
      <w:r w:rsidRPr="00BC1586">
        <w:rPr>
          <w:rFonts w:hint="cs"/>
          <w:b/>
          <w:bCs/>
          <w:rtl/>
        </w:rPr>
        <w:t>השוויון ביחס ובסיכוי</w:t>
      </w:r>
      <w:r w:rsidRPr="00BC1586">
        <w:rPr>
          <w:rFonts w:hint="cs"/>
          <w:rtl/>
        </w:rPr>
        <w:t xml:space="preserve"> וגם את </w:t>
      </w:r>
      <w:r w:rsidRPr="00BC1586">
        <w:rPr>
          <w:rFonts w:hint="cs"/>
          <w:b/>
          <w:bCs/>
          <w:rtl/>
        </w:rPr>
        <w:t>השוויון בתוצאות</w:t>
      </w:r>
      <w:r w:rsidRPr="00BC1586">
        <w:rPr>
          <w:rStyle w:val="a4"/>
          <w:rtl/>
        </w:rPr>
        <w:footnoteReference w:id="32"/>
      </w:r>
      <w:r w:rsidRPr="00BC1586">
        <w:rPr>
          <w:rFonts w:hint="cs"/>
          <w:rtl/>
        </w:rPr>
        <w:t xml:space="preserve">. </w:t>
      </w:r>
      <w:r w:rsidR="00802474">
        <w:rPr>
          <w:rFonts w:hint="cs"/>
          <w:rtl/>
        </w:rPr>
        <w:t xml:space="preserve"> </w:t>
      </w:r>
      <w:r w:rsidR="00802474">
        <w:rPr>
          <w:rtl/>
        </w:rPr>
        <w:t xml:space="preserve">המושג שוויון, פירושו </w:t>
      </w:r>
      <w:r w:rsidR="00802474" w:rsidRPr="00207722">
        <w:rPr>
          <w:rFonts w:hint="eastAsia"/>
          <w:b/>
          <w:bCs/>
          <w:rtl/>
        </w:rPr>
        <w:t>שוויון</w:t>
      </w:r>
      <w:r w:rsidR="00802474" w:rsidRPr="00207722">
        <w:rPr>
          <w:b/>
          <w:bCs/>
          <w:rtl/>
        </w:rPr>
        <w:t xml:space="preserve"> רלוונטי</w:t>
      </w:r>
      <w:r w:rsidR="00802474">
        <w:rPr>
          <w:rFonts w:hint="cs"/>
          <w:rtl/>
        </w:rPr>
        <w:t>,</w:t>
      </w:r>
      <w:r w:rsidR="00802474">
        <w:rPr>
          <w:rtl/>
        </w:rPr>
        <w:t xml:space="preserve"> הדורש להעניק יחס שווה לשווים ויחס שונה לשונים ביחס </w:t>
      </w:r>
      <w:r w:rsidR="00207722">
        <w:rPr>
          <w:rFonts w:hint="cs"/>
          <w:rtl/>
        </w:rPr>
        <w:t>התואם את</w:t>
      </w:r>
      <w:r w:rsidR="00802474">
        <w:rPr>
          <w:rtl/>
        </w:rPr>
        <w:t xml:space="preserve"> </w:t>
      </w:r>
      <w:r w:rsidR="00207722">
        <w:rPr>
          <w:rFonts w:hint="cs"/>
          <w:rtl/>
        </w:rPr>
        <w:t>ה</w:t>
      </w:r>
      <w:r w:rsidR="00802474">
        <w:rPr>
          <w:rFonts w:hint="eastAsia"/>
          <w:rtl/>
        </w:rPr>
        <w:t>שוני</w:t>
      </w:r>
      <w:r w:rsidR="00802474">
        <w:rPr>
          <w:rtl/>
        </w:rPr>
        <w:t xml:space="preserve"> ביניהם. </w:t>
      </w:r>
      <w:r w:rsidR="00207722">
        <w:rPr>
          <w:rFonts w:hint="cs"/>
          <w:rtl/>
        </w:rPr>
        <w:t>באופן זה,</w:t>
      </w:r>
      <w:r w:rsidR="00802474">
        <w:rPr>
          <w:rtl/>
        </w:rPr>
        <w:t xml:space="preserve"> יתכן</w:t>
      </w:r>
      <w:r w:rsidR="00207722">
        <w:rPr>
          <w:rFonts w:hint="cs"/>
          <w:rtl/>
        </w:rPr>
        <w:t xml:space="preserve"> מצב בו</w:t>
      </w:r>
      <w:r w:rsidR="00802474">
        <w:rPr>
          <w:rtl/>
        </w:rPr>
        <w:t xml:space="preserve"> יהיו קבוצות </w:t>
      </w:r>
      <w:r w:rsidR="00207722">
        <w:rPr>
          <w:rFonts w:hint="cs"/>
          <w:rtl/>
        </w:rPr>
        <w:t xml:space="preserve">אשר </w:t>
      </w:r>
      <w:r w:rsidR="00802474">
        <w:rPr>
          <w:rtl/>
        </w:rPr>
        <w:t>השוני</w:t>
      </w:r>
      <w:r w:rsidR="00207722">
        <w:rPr>
          <w:rFonts w:hint="cs"/>
          <w:rtl/>
        </w:rPr>
        <w:t xml:space="preserve"> ביניהן</w:t>
      </w:r>
      <w:r w:rsidR="00802474">
        <w:rPr>
          <w:rtl/>
        </w:rPr>
        <w:t xml:space="preserve"> יהיה רלוונטי, ו</w:t>
      </w:r>
      <w:r w:rsidR="00207722">
        <w:rPr>
          <w:rFonts w:hint="cs"/>
          <w:rtl/>
        </w:rPr>
        <w:t xml:space="preserve">לפיכך </w:t>
      </w:r>
      <w:r w:rsidR="00802474">
        <w:rPr>
          <w:rtl/>
        </w:rPr>
        <w:t>יכתיב</w:t>
      </w:r>
      <w:r w:rsidR="00207722">
        <w:rPr>
          <w:rFonts w:hint="cs"/>
          <w:rtl/>
        </w:rPr>
        <w:t xml:space="preserve"> בצדק</w:t>
      </w:r>
      <w:r w:rsidR="00802474">
        <w:rPr>
          <w:rtl/>
        </w:rPr>
        <w:t xml:space="preserve"> התייחסות </w:t>
      </w:r>
      <w:r w:rsidR="00802474">
        <w:rPr>
          <w:rFonts w:hint="eastAsia"/>
          <w:rtl/>
        </w:rPr>
        <w:t>שונה</w:t>
      </w:r>
      <w:r w:rsidR="00802474">
        <w:rPr>
          <w:rtl/>
        </w:rPr>
        <w:t>.</w:t>
      </w:r>
      <w:r w:rsidR="008E5FEC">
        <w:rPr>
          <w:rFonts w:hint="cs"/>
          <w:rtl/>
        </w:rPr>
        <w:t xml:space="preserve"> </w:t>
      </w:r>
    </w:p>
    <w:p w:rsidR="008E5FEC" w:rsidRDefault="008E5FEC" w:rsidP="00070F82">
      <w:pPr>
        <w:spacing w:line="480" w:lineRule="auto"/>
        <w:jc w:val="both"/>
        <w:rPr>
          <w:rFonts w:hint="cs"/>
          <w:rtl/>
        </w:rPr>
      </w:pPr>
      <w:r>
        <w:rPr>
          <w:rFonts w:hint="cs"/>
          <w:rtl/>
        </w:rPr>
        <w:t>במקרה דנן, נתונים סטטיסטיים מוכיחים</w:t>
      </w:r>
      <w:r w:rsidR="00070F82">
        <w:rPr>
          <w:rFonts w:hint="cs"/>
          <w:rtl/>
        </w:rPr>
        <w:t xml:space="preserve"> (להלן נספח ג')</w:t>
      </w:r>
      <w:r>
        <w:rPr>
          <w:rFonts w:hint="cs"/>
          <w:rtl/>
        </w:rPr>
        <w:t xml:space="preserve"> כי לאורך כל שנות קיומה של מדינת ישראל, ללא יוצא מן הכלל, תמיד ניתן להצביע על פער בין מספר הגברים המחזיקים רשיונות </w:t>
      </w:r>
      <w:r>
        <w:rPr>
          <w:rFonts w:hint="cs"/>
          <w:rtl/>
        </w:rPr>
        <w:lastRenderedPageBreak/>
        <w:t>נהיגה לבין מספר הנשים, הנמוך ממנו. לעתים פער זה הינו משמעותי עד כדי הבדל של עשרות אלפי אנשים</w:t>
      </w:r>
      <w:r w:rsidR="00070F82">
        <w:rPr>
          <w:rFonts w:hint="cs"/>
          <w:rtl/>
        </w:rPr>
        <w:t>. כך, למשל, ניתן לראות בנספח ג' כי בשנת 2001 קיים פער של 12,000 איש בקירוב, ובשנת 1991 קיים פער של למעלה מ-30,000 איש</w:t>
      </w:r>
      <w:r w:rsidR="00472CE4">
        <w:rPr>
          <w:rFonts w:hint="cs"/>
          <w:rtl/>
        </w:rPr>
        <w:t xml:space="preserve"> (!)</w:t>
      </w:r>
      <w:r w:rsidR="00070F82">
        <w:rPr>
          <w:rFonts w:hint="cs"/>
          <w:rtl/>
        </w:rPr>
        <w:t xml:space="preserve"> במספר הגברים המחזיקים רשיונות נהיגה לעומת הנשים העושות כן</w:t>
      </w:r>
      <w:r>
        <w:rPr>
          <w:rFonts w:hint="cs"/>
          <w:rtl/>
        </w:rPr>
        <w:t xml:space="preserve">. טענה האומרת כי אין בכך אפליה, משום שלנשים יש </w:t>
      </w:r>
      <w:r w:rsidRPr="00136386">
        <w:rPr>
          <w:rFonts w:hint="cs"/>
          <w:b/>
          <w:bCs/>
          <w:rtl/>
        </w:rPr>
        <w:t>סיכוי שווה</w:t>
      </w:r>
      <w:r>
        <w:rPr>
          <w:rFonts w:hint="cs"/>
          <w:rtl/>
        </w:rPr>
        <w:t xml:space="preserve"> להחזקת רשיון נהיגה וכי קביעת הקריטריונים לא מצביעה מפורשות על תשלום שכר רק בשל היות העובד גבר </w:t>
      </w:r>
      <w:r>
        <w:rPr>
          <w:rtl/>
        </w:rPr>
        <w:t>–</w:t>
      </w:r>
      <w:r>
        <w:rPr>
          <w:rFonts w:hint="cs"/>
          <w:rtl/>
        </w:rPr>
        <w:t xml:space="preserve"> דינה להדחות, כיוון שכאמור הלכה פסוקה היא שיש להבטיח </w:t>
      </w:r>
      <w:r w:rsidRPr="00136386">
        <w:rPr>
          <w:rFonts w:hint="cs"/>
          <w:b/>
          <w:bCs/>
          <w:rtl/>
        </w:rPr>
        <w:t xml:space="preserve">שוויון </w:t>
      </w:r>
      <w:r w:rsidRPr="00136386">
        <w:rPr>
          <w:rFonts w:hint="cs"/>
          <w:rtl/>
        </w:rPr>
        <w:t>גם</w:t>
      </w:r>
      <w:r w:rsidRPr="00136386">
        <w:rPr>
          <w:rFonts w:hint="cs"/>
          <w:b/>
          <w:bCs/>
          <w:rtl/>
        </w:rPr>
        <w:t xml:space="preserve"> בתוצאות</w:t>
      </w:r>
      <w:r>
        <w:rPr>
          <w:rFonts w:hint="cs"/>
          <w:rtl/>
        </w:rPr>
        <w:t>. במבחן התוצאה, כאמור, נשים בישראל לעולם מחזיקות בפחות רשיונות נהיגה מגברים,</w:t>
      </w:r>
      <w:r w:rsidR="00136386">
        <w:rPr>
          <w:rFonts w:hint="cs"/>
          <w:rtl/>
        </w:rPr>
        <w:t xml:space="preserve"> למרות ייצוגם השווה באוכלוסיה,</w:t>
      </w:r>
      <w:r>
        <w:rPr>
          <w:rFonts w:hint="cs"/>
          <w:rtl/>
        </w:rPr>
        <w:t xml:space="preserve"> ולפיכך קיימת במקרה זה אפליה דה-פקטו.</w:t>
      </w:r>
      <w:r w:rsidR="00E75963">
        <w:rPr>
          <w:rFonts w:hint="cs"/>
          <w:rtl/>
        </w:rPr>
        <w:t xml:space="preserve"> מסקנה זו נכונה </w:t>
      </w:r>
      <w:r w:rsidR="00910D34">
        <w:rPr>
          <w:rFonts w:hint="cs"/>
          <w:rtl/>
        </w:rPr>
        <w:t xml:space="preserve">גם בכל הקשור לנכים, אשר </w:t>
      </w:r>
      <w:r w:rsidR="00E75963">
        <w:rPr>
          <w:rFonts w:hint="cs"/>
          <w:rtl/>
        </w:rPr>
        <w:t>מחזיקים</w:t>
      </w:r>
      <w:r w:rsidR="00910D34">
        <w:rPr>
          <w:rFonts w:hint="cs"/>
          <w:rtl/>
        </w:rPr>
        <w:t xml:space="preserve"> אף הם</w:t>
      </w:r>
      <w:r w:rsidR="005D77D0">
        <w:rPr>
          <w:rFonts w:hint="cs"/>
          <w:rtl/>
        </w:rPr>
        <w:t xml:space="preserve"> בפחות רשיונות נהיגה</w:t>
      </w:r>
      <w:r w:rsidR="00E75963">
        <w:rPr>
          <w:rFonts w:hint="cs"/>
          <w:rtl/>
        </w:rPr>
        <w:t>.</w:t>
      </w:r>
    </w:p>
    <w:p w:rsidR="00E75963" w:rsidRDefault="005D77D0" w:rsidP="005D77D0">
      <w:pPr>
        <w:spacing w:line="480" w:lineRule="auto"/>
        <w:jc w:val="both"/>
        <w:rPr>
          <w:rFonts w:hint="cs"/>
          <w:rtl/>
        </w:rPr>
      </w:pPr>
      <w:r>
        <w:rPr>
          <w:rFonts w:hint="cs"/>
          <w:rtl/>
        </w:rPr>
        <w:t>בנוסף, ניתן לטעון כי הוראה זו מפלה מעצם טיבה,</w:t>
      </w:r>
      <w:r w:rsidR="00E75963">
        <w:rPr>
          <w:rFonts w:hint="cs"/>
          <w:rtl/>
        </w:rPr>
        <w:t xml:space="preserve"> כיוון שעצם הבעלות על רכב</w:t>
      </w:r>
      <w:r w:rsidR="004E6B49">
        <w:rPr>
          <w:rFonts w:hint="cs"/>
          <w:rtl/>
        </w:rPr>
        <w:t xml:space="preserve"> </w:t>
      </w:r>
      <w:r w:rsidR="00E75963">
        <w:rPr>
          <w:rFonts w:hint="cs"/>
          <w:rtl/>
        </w:rPr>
        <w:t>- עדיין אין בה כדי להוכיח שימוש בו בפועל לצורך נסיעה בתפקיד. יתכן מצב בו עובדים בעלי רכב יוכלו לנסוע בתחבורה ציבורית וליהנו</w:t>
      </w:r>
      <w:r w:rsidR="00E75963">
        <w:rPr>
          <w:rFonts w:hint="eastAsia"/>
          <w:rtl/>
        </w:rPr>
        <w:t>ת</w:t>
      </w:r>
      <w:r w:rsidR="00E75963">
        <w:rPr>
          <w:rFonts w:hint="cs"/>
          <w:rtl/>
        </w:rPr>
        <w:t xml:space="preserve"> מהחזרים גבוהים, לעומת עמיתיהם שאינם בעלי רכב ושעבור אותה ההוצאה של נסיעה בתחבורה ציבורית, יקבלו החזרים לפי תעריף הנסיעה בתחבורה הציבורית. </w:t>
      </w:r>
    </w:p>
    <w:p w:rsidR="00E75963" w:rsidRDefault="00E75963" w:rsidP="00E75963">
      <w:pPr>
        <w:spacing w:line="480" w:lineRule="auto"/>
        <w:jc w:val="both"/>
        <w:rPr>
          <w:rFonts w:hint="cs"/>
          <w:rtl/>
        </w:rPr>
      </w:pPr>
      <w:r>
        <w:rPr>
          <w:rFonts w:hint="cs"/>
          <w:rtl/>
        </w:rPr>
        <w:t>מאידך</w:t>
      </w:r>
      <w:r>
        <w:rPr>
          <w:rFonts w:hint="cs"/>
          <w:sz w:val="24"/>
          <w:rtl/>
        </w:rPr>
        <w:t xml:space="preserve"> ניתן לומר, שאין כאן אפליה כלל, משום שלמעשה התשלומים משקפים באופן ישיר את ההוצאות שהוצאו על הנסיעות, כאשר כל אחד קיבל כפי הוצאתו המדווחת</w:t>
      </w:r>
      <w:r>
        <w:rPr>
          <w:rFonts w:hint="cs"/>
          <w:rtl/>
        </w:rPr>
        <w:t>.</w:t>
      </w:r>
    </w:p>
    <w:p w:rsidR="00E75963" w:rsidRDefault="00E75963" w:rsidP="00E75963">
      <w:pPr>
        <w:spacing w:line="480" w:lineRule="auto"/>
        <w:jc w:val="both"/>
        <w:rPr>
          <w:rFonts w:hint="cs"/>
          <w:rtl/>
        </w:rPr>
      </w:pPr>
      <w:r>
        <w:rPr>
          <w:rFonts w:hint="cs"/>
          <w:rtl/>
        </w:rPr>
        <w:t>אף אם נגיע למסקנה שמדובר כאן באפליה, אין משתמע מהדברים שזוהי אפליה פסולה.</w:t>
      </w:r>
      <w:r w:rsidR="005D77D0">
        <w:rPr>
          <w:rFonts w:hint="cs"/>
          <w:rtl/>
        </w:rPr>
        <w:t xml:space="preserve"> שכן כאמור,</w:t>
      </w:r>
      <w:r>
        <w:rPr>
          <w:rFonts w:hint="cs"/>
          <w:rtl/>
        </w:rPr>
        <w:t xml:space="preserve"> יח</w:t>
      </w:r>
      <w:r w:rsidR="005D77D0">
        <w:rPr>
          <w:rFonts w:hint="cs"/>
          <w:rtl/>
        </w:rPr>
        <w:t>ס שונה הוא לגיטימי כאשר יש שוני</w:t>
      </w:r>
      <w:r>
        <w:rPr>
          <w:rFonts w:hint="cs"/>
          <w:rtl/>
        </w:rPr>
        <w:t xml:space="preserve"> שהינו רלוונטי להבחנה בין הקבוצות השונות.</w:t>
      </w:r>
    </w:p>
    <w:p w:rsidR="00E75963" w:rsidRDefault="00E75963" w:rsidP="00E75963">
      <w:pPr>
        <w:spacing w:line="480" w:lineRule="auto"/>
        <w:jc w:val="both"/>
        <w:rPr>
          <w:rFonts w:hint="cs"/>
          <w:rtl/>
        </w:rPr>
      </w:pPr>
      <w:r>
        <w:rPr>
          <w:rFonts w:hint="cs"/>
          <w:rtl/>
        </w:rPr>
        <w:t>אם כן, השאלה העולה היא: האם בעלות על רכב אמורה להכתיב התייחסות שונה לעובדים?</w:t>
      </w:r>
    </w:p>
    <w:p w:rsidR="00E75963" w:rsidRDefault="00E75963" w:rsidP="00E75963">
      <w:pPr>
        <w:spacing w:line="480" w:lineRule="auto"/>
        <w:jc w:val="both"/>
        <w:rPr>
          <w:rFonts w:hint="cs"/>
          <w:rtl/>
        </w:rPr>
      </w:pPr>
      <w:r>
        <w:rPr>
          <w:rFonts w:hint="cs"/>
          <w:rtl/>
        </w:rPr>
        <w:t xml:space="preserve">נקודת ההנחה העומדת בבסיס ההתייחסות השונה היא שעובדים בעלי רכב יעשו בו שימוש בזמן העבודה לנסיעות למטרות עבודה, שימוש שלעיתים הכרחי בנסיבות מסוימות. כשלעומתם עובדים שאינם בעלי רכב יעשו את דרכם בתחבורה הציבורית. בהתאם לכך יש מקום לטענה שהשוני רלוונטי מכיוון שהוא נוגע להחזר הראוי. </w:t>
      </w:r>
    </w:p>
    <w:p w:rsidR="00E75963" w:rsidRPr="00BC1586" w:rsidRDefault="00E75963" w:rsidP="008E6F7C">
      <w:pPr>
        <w:spacing w:line="480" w:lineRule="auto"/>
        <w:jc w:val="both"/>
        <w:rPr>
          <w:rFonts w:hint="cs"/>
          <w:rtl/>
        </w:rPr>
      </w:pPr>
    </w:p>
    <w:p w:rsidR="00B655C8" w:rsidRPr="00F91538" w:rsidRDefault="00B655C8" w:rsidP="00F91538">
      <w:pPr>
        <w:pStyle w:val="3"/>
        <w:rPr>
          <w:rFonts w:hint="cs"/>
          <w:rtl/>
        </w:rPr>
      </w:pPr>
      <w:bookmarkStart w:id="23" w:name="_Toc144716275"/>
      <w:r w:rsidRPr="00F91538">
        <w:rPr>
          <w:rFonts w:hint="cs"/>
          <w:rtl/>
        </w:rPr>
        <w:t>העדר כוונה:</w:t>
      </w:r>
      <w:bookmarkEnd w:id="23"/>
    </w:p>
    <w:p w:rsidR="00B655C8" w:rsidRPr="00BC1586" w:rsidRDefault="00B655C8" w:rsidP="008E6F7C">
      <w:pPr>
        <w:spacing w:line="480" w:lineRule="auto"/>
        <w:jc w:val="both"/>
        <w:rPr>
          <w:rFonts w:hint="cs"/>
          <w:rtl/>
        </w:rPr>
      </w:pPr>
      <w:r w:rsidRPr="00BC1586">
        <w:rPr>
          <w:rFonts w:hint="cs"/>
          <w:rtl/>
        </w:rPr>
        <w:t xml:space="preserve">נשאלת השאלה האם בכדי לקבוע שמתקיימת אפליה, די בעצם קיומה האובייקטיבי של העובדה בדבר היחס השונה המוענק לאנשים המצויים במצב שווה, או שמא נדרשת גם כוונה להפלות מצד המעביד המעניק את היחס השונה. הכללת דרישת קיומו של </w:t>
      </w:r>
      <w:r w:rsidRPr="00BC1586">
        <w:rPr>
          <w:rFonts w:hint="cs"/>
          <w:b/>
          <w:bCs/>
          <w:rtl/>
        </w:rPr>
        <w:t>מניע</w:t>
      </w:r>
      <w:r w:rsidRPr="00BC1586">
        <w:rPr>
          <w:rFonts w:hint="cs"/>
          <w:rtl/>
        </w:rPr>
        <w:t xml:space="preserve"> בהגדרת הזכות, עלולה להכשיל את התביעה. בייחוד הדבר מקשה כאשר עוסקים באפליה קבוצתית. </w:t>
      </w:r>
    </w:p>
    <w:p w:rsidR="00B655C8" w:rsidRPr="00BC1586" w:rsidRDefault="00B655C8" w:rsidP="008E6F7C">
      <w:pPr>
        <w:spacing w:line="480" w:lineRule="auto"/>
        <w:jc w:val="both"/>
        <w:rPr>
          <w:rFonts w:hint="cs"/>
          <w:rtl/>
        </w:rPr>
      </w:pPr>
      <w:r w:rsidRPr="00BC1586">
        <w:rPr>
          <w:rFonts w:hint="cs"/>
          <w:rtl/>
        </w:rPr>
        <w:lastRenderedPageBreak/>
        <w:t xml:space="preserve">שאלה זו הוכרעה בפסיקה ונקבע כי </w:t>
      </w:r>
      <w:r w:rsidRPr="00BC1586">
        <w:rPr>
          <w:rFonts w:hint="cs"/>
          <w:b/>
          <w:bCs/>
          <w:rtl/>
        </w:rPr>
        <w:t>למרכיב הכוונה אין שייכות</w:t>
      </w:r>
      <w:r w:rsidRPr="00BC1586">
        <w:rPr>
          <w:rFonts w:hint="cs"/>
          <w:rtl/>
        </w:rPr>
        <w:t xml:space="preserve"> בנסיבות. מכאן, שהעדרה של כוונה אינו מעלה ואינו מוריד לגבי שאלת קיומה של האפליה, וזו תהיה פסולה גם בהעדר כוונה. </w:t>
      </w:r>
    </w:p>
    <w:p w:rsidR="00B655C8" w:rsidRPr="00BC1586" w:rsidRDefault="00B655C8" w:rsidP="008E6F7C">
      <w:pPr>
        <w:spacing w:line="480" w:lineRule="auto"/>
        <w:jc w:val="both"/>
        <w:rPr>
          <w:rFonts w:hint="cs"/>
          <w:rtl/>
        </w:rPr>
      </w:pPr>
      <w:r w:rsidRPr="00BC1586">
        <w:rPr>
          <w:rFonts w:hint="cs"/>
          <w:rtl/>
        </w:rPr>
        <w:t>כך למשל פסק השופט מצא בבג"צ שדולת הנשים:</w:t>
      </w:r>
    </w:p>
    <w:p w:rsidR="00B655C8" w:rsidRPr="00920D9C" w:rsidRDefault="00B655C8" w:rsidP="008E6F7C">
      <w:pPr>
        <w:spacing w:line="480" w:lineRule="auto"/>
        <w:ind w:left="720"/>
        <w:jc w:val="both"/>
        <w:rPr>
          <w:rFonts w:hint="cs"/>
          <w:i/>
          <w:iCs/>
          <w:rtl/>
        </w:rPr>
      </w:pPr>
      <w:r w:rsidRPr="00920D9C">
        <w:rPr>
          <w:rFonts w:hint="cs"/>
          <w:i/>
          <w:iCs/>
          <w:rtl/>
        </w:rPr>
        <w:t>"הפסול הוא בתופעת ההפליה של נשים, כעובדה מוכחת, והפליה היא פסולה גם כשאין ביסודה כוונה להפלות".</w:t>
      </w:r>
    </w:p>
    <w:p w:rsidR="00B655C8" w:rsidRPr="00BC1586" w:rsidRDefault="00B655C8" w:rsidP="008E6F7C">
      <w:pPr>
        <w:spacing w:line="480" w:lineRule="auto"/>
        <w:jc w:val="both"/>
        <w:rPr>
          <w:rFonts w:hint="cs"/>
          <w:rtl/>
        </w:rPr>
      </w:pPr>
      <w:r w:rsidRPr="00BC1586">
        <w:rPr>
          <w:rFonts w:hint="cs"/>
          <w:rtl/>
        </w:rPr>
        <w:t xml:space="preserve">כך אף נפסק בבג"צ נבו. </w:t>
      </w:r>
    </w:p>
    <w:p w:rsidR="00B655C8" w:rsidRPr="00BC1586" w:rsidRDefault="0089059D" w:rsidP="00776F58">
      <w:pPr>
        <w:spacing w:line="480" w:lineRule="auto"/>
        <w:jc w:val="both"/>
        <w:rPr>
          <w:rFonts w:hint="cs"/>
          <w:rtl/>
        </w:rPr>
      </w:pPr>
      <w:r>
        <w:rPr>
          <w:rFonts w:hint="cs"/>
          <w:rtl/>
        </w:rPr>
        <w:t>במקרה דנן, אף אם אין כלל כוונת אפליה</w:t>
      </w:r>
      <w:r w:rsidR="00776F58">
        <w:rPr>
          <w:rFonts w:hint="cs"/>
          <w:rtl/>
        </w:rPr>
        <w:t xml:space="preserve"> מצד החשב הכללי</w:t>
      </w:r>
      <w:r>
        <w:rPr>
          <w:rFonts w:hint="cs"/>
          <w:rtl/>
        </w:rPr>
        <w:t xml:space="preserve"> בהוראת</w:t>
      </w:r>
      <w:r w:rsidR="00776F58">
        <w:rPr>
          <w:rFonts w:hint="cs"/>
          <w:rtl/>
        </w:rPr>
        <w:t>ו</w:t>
      </w:r>
      <w:r>
        <w:rPr>
          <w:rFonts w:hint="cs"/>
          <w:rtl/>
        </w:rPr>
        <w:t xml:space="preserve">, הרי שהאפליה הקיימת בפועל תחשב כפסולה גם בהעדר </w:t>
      </w:r>
      <w:r w:rsidR="00776F58">
        <w:rPr>
          <w:rFonts w:hint="cs"/>
          <w:rtl/>
        </w:rPr>
        <w:t>ה</w:t>
      </w:r>
      <w:r>
        <w:rPr>
          <w:rFonts w:hint="cs"/>
          <w:rtl/>
        </w:rPr>
        <w:t>כוונה.</w:t>
      </w:r>
    </w:p>
    <w:p w:rsidR="00B655C8" w:rsidRDefault="00B655C8" w:rsidP="008E6F7C">
      <w:pPr>
        <w:spacing w:line="480" w:lineRule="auto"/>
        <w:jc w:val="both"/>
        <w:rPr>
          <w:rFonts w:hint="cs"/>
          <w:b/>
          <w:bCs/>
          <w:u w:val="single"/>
          <w:rtl/>
        </w:rPr>
      </w:pPr>
    </w:p>
    <w:p w:rsidR="00B655C8" w:rsidRPr="00B41E52" w:rsidRDefault="00B655C8" w:rsidP="00F91538">
      <w:pPr>
        <w:pStyle w:val="3"/>
        <w:rPr>
          <w:rFonts w:hint="cs"/>
          <w:rtl/>
        </w:rPr>
      </w:pPr>
      <w:bookmarkStart w:id="24" w:name="_Toc144716276"/>
      <w:r w:rsidRPr="00B41E52">
        <w:rPr>
          <w:rFonts w:hint="cs"/>
          <w:rtl/>
        </w:rPr>
        <w:t>משמעות ההכרה בשוויון</w:t>
      </w:r>
      <w:bookmarkEnd w:id="24"/>
    </w:p>
    <w:p w:rsidR="00B655C8" w:rsidRDefault="00B655C8" w:rsidP="00910D34">
      <w:pPr>
        <w:spacing w:line="480" w:lineRule="auto"/>
        <w:jc w:val="both"/>
        <w:rPr>
          <w:rFonts w:hint="cs"/>
          <w:rtl/>
        </w:rPr>
      </w:pPr>
      <w:r w:rsidRPr="00BC1586">
        <w:rPr>
          <w:rFonts w:hint="cs"/>
          <w:rtl/>
        </w:rPr>
        <w:t>למשמעות ההכרה בשוויון התעסוקתי כזכות יסוד חוקתית יש שתי נפקויות מרכזיות לענייננו: האחת, השלטון כרשות מחוקקת</w:t>
      </w:r>
      <w:r>
        <w:rPr>
          <w:rFonts w:hint="cs"/>
          <w:rtl/>
        </w:rPr>
        <w:t>/מבצעת</w:t>
      </w:r>
      <w:r w:rsidRPr="00BC1586">
        <w:rPr>
          <w:rFonts w:hint="cs"/>
          <w:rtl/>
        </w:rPr>
        <w:t xml:space="preserve"> א</w:t>
      </w:r>
      <w:r>
        <w:rPr>
          <w:rFonts w:hint="cs"/>
          <w:rtl/>
        </w:rPr>
        <w:t>ינו יכול לחוקק בסתירה לעקרון זה, ואף אינו יכול לתקן תקנות או להורות בסתירה לו.</w:t>
      </w:r>
      <w:r w:rsidRPr="00BC1586">
        <w:rPr>
          <w:rFonts w:hint="cs"/>
          <w:rtl/>
        </w:rPr>
        <w:t xml:space="preserve"> שנית, השלטון כמעביד ציבור</w:t>
      </w:r>
      <w:r>
        <w:rPr>
          <w:rFonts w:hint="cs"/>
          <w:rtl/>
        </w:rPr>
        <w:t>י, איננו יכול להפלות בין עובדיו, בניגוד לתקנות אלו.</w:t>
      </w:r>
      <w:r w:rsidR="00910D34">
        <w:rPr>
          <w:rFonts w:hint="cs"/>
          <w:rtl/>
        </w:rPr>
        <w:t xml:space="preserve"> בנוסף, כיוון שמדובר בזכות יסוד חוקתית, הרי שביהמ"ש יוכל לבקר באמצעותה חוקים שחוקקה הכנסת ועומדים בסתירה אליה, ומקל וחומר נלמד כי יוכל לבקר הוראה מנהלתית </w:t>
      </w:r>
      <w:r w:rsidR="00910D34">
        <w:rPr>
          <w:rtl/>
        </w:rPr>
        <w:t>–</w:t>
      </w:r>
      <w:r w:rsidR="00910D34">
        <w:rPr>
          <w:rFonts w:hint="cs"/>
          <w:rtl/>
        </w:rPr>
        <w:t xml:space="preserve"> כבמקרה דנן </w:t>
      </w:r>
      <w:r w:rsidR="00910D34">
        <w:rPr>
          <w:rtl/>
        </w:rPr>
        <w:t>–</w:t>
      </w:r>
      <w:r w:rsidR="00910D34">
        <w:rPr>
          <w:rFonts w:hint="cs"/>
          <w:rtl/>
        </w:rPr>
        <w:t xml:space="preserve"> אשר מצויה במעמד נורמטיבי נמוך יותר ממעמדו של חוק רגיל.</w:t>
      </w:r>
      <w:r w:rsidRPr="00BC1586">
        <w:rPr>
          <w:rFonts w:hint="cs"/>
          <w:rtl/>
        </w:rPr>
        <w:t xml:space="preserve"> </w:t>
      </w:r>
    </w:p>
    <w:p w:rsidR="00B655C8" w:rsidRDefault="00B655C8" w:rsidP="008E6F7C">
      <w:pPr>
        <w:spacing w:line="480" w:lineRule="auto"/>
        <w:jc w:val="both"/>
        <w:rPr>
          <w:rFonts w:hint="cs"/>
          <w:b/>
          <w:bCs/>
          <w:u w:val="single"/>
          <w:rtl/>
        </w:rPr>
      </w:pPr>
    </w:p>
    <w:p w:rsidR="00B655C8" w:rsidRPr="007E6ACF" w:rsidRDefault="00B655C8" w:rsidP="00F91538">
      <w:pPr>
        <w:pStyle w:val="5"/>
        <w:rPr>
          <w:rFonts w:hint="cs"/>
          <w:rtl/>
        </w:rPr>
      </w:pPr>
      <w:r w:rsidRPr="007E6ACF">
        <w:rPr>
          <w:rFonts w:hint="cs"/>
          <w:rtl/>
        </w:rPr>
        <w:t>יחסיות זכות היסוד לשוויון בעבודה</w:t>
      </w:r>
    </w:p>
    <w:p w:rsidR="00B655C8" w:rsidRDefault="00B655C8" w:rsidP="008E6F7C">
      <w:pPr>
        <w:spacing w:line="480" w:lineRule="auto"/>
        <w:jc w:val="both"/>
        <w:rPr>
          <w:rFonts w:hint="cs"/>
          <w:rtl/>
        </w:rPr>
      </w:pPr>
      <w:r>
        <w:rPr>
          <w:rFonts w:hint="cs"/>
          <w:rtl/>
        </w:rPr>
        <w:t xml:space="preserve">כמו כל זכות יסוד אחרת, גם הזכות לשוויון בעבודה איננה זכות מוחלטת אלא </w:t>
      </w:r>
      <w:r w:rsidRPr="00BF76FE">
        <w:rPr>
          <w:rFonts w:hint="cs"/>
          <w:b/>
          <w:bCs/>
          <w:rtl/>
        </w:rPr>
        <w:t>זכות יחסית</w:t>
      </w:r>
      <w:r>
        <w:rPr>
          <w:rFonts w:hint="cs"/>
          <w:rtl/>
        </w:rPr>
        <w:t xml:space="preserve"> בלבד. הגשמת הזכות לשוויון בעבודה עשויה להתנגש בזכויות יסוד אחרות או לפגוע בהגשמתן. עלול להווצר מצב בו יהיה בלתי אפשרי ליישם את שתי הזכויות המתנגשות, ומכאן שיש צורך להחליט כיצד לאזן בין הזכויות המתנגשות.</w:t>
      </w:r>
    </w:p>
    <w:p w:rsidR="00B655C8" w:rsidRDefault="00B655C8" w:rsidP="008E6F7C">
      <w:pPr>
        <w:spacing w:line="480" w:lineRule="auto"/>
        <w:jc w:val="both"/>
        <w:rPr>
          <w:rFonts w:hint="cs"/>
          <w:rtl/>
        </w:rPr>
      </w:pPr>
      <w:r>
        <w:rPr>
          <w:rFonts w:hint="cs"/>
          <w:rtl/>
        </w:rPr>
        <w:t>נבחן את זכויותיו של המעביד אל מול הזכות החוקתית של העובד לשוויון בעבודה, ונראה את טיב כללי האיזון שבין זכויות אלו.</w:t>
      </w:r>
    </w:p>
    <w:p w:rsidR="00B655C8" w:rsidRDefault="00B655C8" w:rsidP="00DF40F1">
      <w:pPr>
        <w:spacing w:line="480" w:lineRule="auto"/>
        <w:jc w:val="both"/>
        <w:rPr>
          <w:rFonts w:hint="cs"/>
          <w:rtl/>
        </w:rPr>
      </w:pPr>
      <w:r>
        <w:rPr>
          <w:rFonts w:hint="cs"/>
          <w:rtl/>
        </w:rPr>
        <w:t>למעביד</w:t>
      </w:r>
      <w:r w:rsidR="00DF40F1">
        <w:rPr>
          <w:rFonts w:hint="cs"/>
          <w:rtl/>
        </w:rPr>
        <w:t>, באופן כללי,</w:t>
      </w:r>
      <w:r>
        <w:rPr>
          <w:rFonts w:hint="cs"/>
          <w:rtl/>
        </w:rPr>
        <w:t xml:space="preserve"> יש זכות לשכור ולפטר עובדים כרצונו, לבחור עם מי לקשור יחסי עובד-מעביד</w:t>
      </w:r>
      <w:r w:rsidR="00DF40F1">
        <w:rPr>
          <w:rFonts w:hint="cs"/>
          <w:rtl/>
        </w:rPr>
        <w:t>, עם מי לנתק את הקשר</w:t>
      </w:r>
      <w:r>
        <w:rPr>
          <w:rFonts w:hint="cs"/>
          <w:rtl/>
        </w:rPr>
        <w:t xml:space="preserve"> </w:t>
      </w:r>
      <w:r w:rsidR="00DF40F1">
        <w:rPr>
          <w:rFonts w:hint="cs"/>
          <w:rtl/>
        </w:rPr>
        <w:t>וכיצד</w:t>
      </w:r>
      <w:r>
        <w:rPr>
          <w:rFonts w:hint="cs"/>
          <w:rtl/>
        </w:rPr>
        <w:t xml:space="preserve"> לנהל את מפעלו</w:t>
      </w:r>
      <w:r w:rsidR="00DF40F1">
        <w:rPr>
          <w:rFonts w:hint="cs"/>
          <w:rtl/>
        </w:rPr>
        <w:t>.</w:t>
      </w:r>
      <w:r>
        <w:rPr>
          <w:rFonts w:hint="cs"/>
          <w:rtl/>
        </w:rPr>
        <w:t xml:space="preserve"> </w:t>
      </w:r>
      <w:r w:rsidR="00DF40F1">
        <w:rPr>
          <w:rFonts w:hint="cs"/>
          <w:rtl/>
        </w:rPr>
        <w:t>במקרה דנן זכות המעביד באה לידי ביטוי</w:t>
      </w:r>
      <w:r>
        <w:rPr>
          <w:rFonts w:hint="cs"/>
          <w:rtl/>
        </w:rPr>
        <w:t xml:space="preserve"> בין היתר בקביעת חוזי עבודה ותנאי שכר. </w:t>
      </w:r>
    </w:p>
    <w:p w:rsidR="00B655C8" w:rsidRDefault="00B655C8" w:rsidP="008E6F7C">
      <w:pPr>
        <w:spacing w:line="480" w:lineRule="auto"/>
        <w:jc w:val="both"/>
        <w:rPr>
          <w:rFonts w:hint="cs"/>
          <w:rtl/>
        </w:rPr>
      </w:pPr>
      <w:r>
        <w:rPr>
          <w:rFonts w:hint="cs"/>
          <w:rtl/>
        </w:rPr>
        <w:lastRenderedPageBreak/>
        <w:t>זכויות אלו של המעביד נתמכות כיום מכח זכויות יסוד</w:t>
      </w:r>
      <w:r>
        <w:rPr>
          <w:rStyle w:val="a4"/>
          <w:rtl/>
        </w:rPr>
        <w:footnoteReference w:id="33"/>
      </w:r>
      <w:r>
        <w:rPr>
          <w:rFonts w:hint="cs"/>
          <w:rtl/>
        </w:rPr>
        <w:t>. תמיכה זו נלמדת מכח זכות הקניין וחופש הקניין, המעוגנות חוקתית בסעיף 3 לחוק יסוד: כבוד האדם וחירותו. בנוסף, למדים זאת מכח חופש העיסוק המוקנה למעביד ומעוגן אף הוא חוקתית, בחוק יסוד: חופש העיסוק. יתר על-כן, זכות המעביד מעוגנת כזכות יסוד מכח חופש החוזים, האוצר בחובו גם את חופש ההתקשרות וגם את חופש עיצוב החוזה</w:t>
      </w:r>
      <w:r>
        <w:rPr>
          <w:rStyle w:val="a4"/>
          <w:rtl/>
        </w:rPr>
        <w:footnoteReference w:id="34"/>
      </w:r>
      <w:r>
        <w:rPr>
          <w:rFonts w:hint="cs"/>
          <w:rtl/>
        </w:rPr>
        <w:t>.</w:t>
      </w:r>
    </w:p>
    <w:p w:rsidR="00EB23A4" w:rsidRDefault="00EB23A4" w:rsidP="008E6F7C">
      <w:pPr>
        <w:spacing w:line="480" w:lineRule="auto"/>
        <w:jc w:val="both"/>
        <w:rPr>
          <w:rFonts w:hint="cs"/>
          <w:rtl/>
        </w:rPr>
      </w:pPr>
      <w:r>
        <w:rPr>
          <w:rFonts w:hint="cs"/>
          <w:rtl/>
        </w:rPr>
        <w:t>לעובד, במקרה זה, עומדת הזכות החוקתית לשוויון בעבודה, הבאה לידי ביטוי בין היתר בקביעת תנאי שכר שווים.</w:t>
      </w:r>
    </w:p>
    <w:p w:rsidR="00B655C8" w:rsidRDefault="00B655C8" w:rsidP="008E6F7C">
      <w:pPr>
        <w:spacing w:line="480" w:lineRule="auto"/>
        <w:jc w:val="both"/>
        <w:rPr>
          <w:rFonts w:hint="cs"/>
          <w:rtl/>
        </w:rPr>
      </w:pPr>
    </w:p>
    <w:p w:rsidR="00B655C8" w:rsidRDefault="00B655C8" w:rsidP="008E6F7C">
      <w:pPr>
        <w:spacing w:line="480" w:lineRule="auto"/>
        <w:jc w:val="both"/>
        <w:rPr>
          <w:rFonts w:hint="cs"/>
          <w:rtl/>
        </w:rPr>
      </w:pPr>
      <w:r>
        <w:rPr>
          <w:rFonts w:hint="cs"/>
          <w:rtl/>
        </w:rPr>
        <w:t>אם כן, מהם הכללים על-פיהם תקבע זכות היסוד העדיפה על חברתה? מהם כללי האיזון בין האינטרסים המתנגשים?</w:t>
      </w:r>
    </w:p>
    <w:p w:rsidR="00B655C8" w:rsidRDefault="00B655C8" w:rsidP="008E6F7C">
      <w:pPr>
        <w:spacing w:line="480" w:lineRule="auto"/>
        <w:jc w:val="both"/>
        <w:rPr>
          <w:rFonts w:hint="cs"/>
          <w:rtl/>
        </w:rPr>
      </w:pPr>
      <w:r>
        <w:rPr>
          <w:rFonts w:hint="cs"/>
          <w:rtl/>
        </w:rPr>
        <w:t xml:space="preserve">יתכנו שני סוגי התנגשויות של אינטרסים: </w:t>
      </w:r>
    </w:p>
    <w:p w:rsidR="00B655C8" w:rsidRDefault="00F91538" w:rsidP="008E6F7C">
      <w:pPr>
        <w:spacing w:line="480" w:lineRule="auto"/>
        <w:jc w:val="both"/>
        <w:rPr>
          <w:rFonts w:hint="cs"/>
          <w:rtl/>
        </w:rPr>
      </w:pPr>
      <w:r>
        <w:rPr>
          <w:rFonts w:hint="cs"/>
          <w:rtl/>
        </w:rPr>
        <w:t xml:space="preserve">א. </w:t>
      </w:r>
      <w:r w:rsidRPr="00F91538">
        <w:rPr>
          <w:rFonts w:hint="cs"/>
          <w:rtl/>
        </w:rPr>
        <w:t>התנגשות בין זכות יסוד חוקתית לחוק רגיל</w:t>
      </w:r>
      <w:r>
        <w:rPr>
          <w:rFonts w:hint="cs"/>
          <w:rtl/>
        </w:rPr>
        <w:t xml:space="preserve">: </w:t>
      </w:r>
      <w:r w:rsidR="00B655C8">
        <w:rPr>
          <w:rFonts w:hint="cs"/>
          <w:rtl/>
        </w:rPr>
        <w:t>התנגשות מסוג זה יכולה להווצר למשל כאשר זכות היסוד החוקתית של המעביד לבחור עובדים ולנהל את מפעלו כראות עיניו מתנגשת עם חוק רגיל המבטיח שוויון לעובד, כדוגמת חוק שוויון הזדמנויות בעבודה המובא להלן. במצב דברים זה, קבע ביהמ"ש כי יש לאזן בין הערכים המתנגשים בצורה של "איזון אנכי"</w:t>
      </w:r>
      <w:r w:rsidR="00B655C8">
        <w:rPr>
          <w:rStyle w:val="a4"/>
          <w:rtl/>
        </w:rPr>
        <w:footnoteReference w:id="35"/>
      </w:r>
      <w:r w:rsidR="00B655C8">
        <w:rPr>
          <w:rFonts w:hint="cs"/>
          <w:rtl/>
        </w:rPr>
        <w:t>. ביטוי זה מציין כי חשיבותו היחסית של ערך אחד גבוהה מהאחר. האיזון נקבע בחוקי היסוד עצמם, בסעיף 8 לחוק יסוד: כבוד האדם וחירותו, בהוראה המכונה 'פסקת ההגבלה'. פסקת ההגבלה קובעת 4 קריטריונים ע"מ שהפגיעה של החוק הרגיל בזכות היסוד החוקתית תהיה כדין:</w:t>
      </w:r>
    </w:p>
    <w:p w:rsidR="00B655C8" w:rsidRDefault="00B655C8" w:rsidP="008E6F7C">
      <w:pPr>
        <w:numPr>
          <w:ilvl w:val="0"/>
          <w:numId w:val="4"/>
        </w:numPr>
        <w:spacing w:line="480" w:lineRule="auto"/>
        <w:jc w:val="both"/>
        <w:rPr>
          <w:rFonts w:hint="cs"/>
        </w:rPr>
      </w:pPr>
      <w:r>
        <w:rPr>
          <w:rFonts w:hint="cs"/>
          <w:rtl/>
        </w:rPr>
        <w:t>הפגיעה בזכות החוקתית צריכה להתבסס על הוראת חוק (חקיקה ראשית או חקיקת משנה) ומכח הסמכה מפורשת באותו חוק.</w:t>
      </w:r>
    </w:p>
    <w:p w:rsidR="00B655C8" w:rsidRDefault="00B655C8" w:rsidP="008E6F7C">
      <w:pPr>
        <w:numPr>
          <w:ilvl w:val="0"/>
          <w:numId w:val="4"/>
        </w:numPr>
        <w:spacing w:line="480" w:lineRule="auto"/>
        <w:jc w:val="both"/>
        <w:rPr>
          <w:rFonts w:hint="cs"/>
        </w:rPr>
      </w:pPr>
      <w:r>
        <w:rPr>
          <w:rFonts w:hint="cs"/>
          <w:rtl/>
        </w:rPr>
        <w:t>החוק הפוגע חייב להלום את ערכיה של מדינת ישראל.</w:t>
      </w:r>
    </w:p>
    <w:p w:rsidR="00B655C8" w:rsidRDefault="00B655C8" w:rsidP="008E6F7C">
      <w:pPr>
        <w:numPr>
          <w:ilvl w:val="0"/>
          <w:numId w:val="4"/>
        </w:numPr>
        <w:spacing w:line="480" w:lineRule="auto"/>
        <w:jc w:val="both"/>
        <w:rPr>
          <w:rFonts w:hint="cs"/>
        </w:rPr>
      </w:pPr>
      <w:r>
        <w:rPr>
          <w:rFonts w:hint="cs"/>
          <w:rtl/>
        </w:rPr>
        <w:t>החוק הפוגע נועד לתכלית ראויה.</w:t>
      </w:r>
    </w:p>
    <w:p w:rsidR="00B655C8" w:rsidRDefault="00B655C8" w:rsidP="008E6F7C">
      <w:pPr>
        <w:numPr>
          <w:ilvl w:val="0"/>
          <w:numId w:val="4"/>
        </w:numPr>
        <w:spacing w:line="480" w:lineRule="auto"/>
        <w:jc w:val="both"/>
        <w:rPr>
          <w:rFonts w:hint="cs"/>
        </w:rPr>
      </w:pPr>
      <w:r>
        <w:rPr>
          <w:rFonts w:hint="cs"/>
          <w:rtl/>
        </w:rPr>
        <w:t>החוק פוגע בזכות האדם במידה שאינה עולה על הנדרש.</w:t>
      </w:r>
    </w:p>
    <w:p w:rsidR="00B655C8" w:rsidRDefault="00B655C8" w:rsidP="008E6F7C">
      <w:pPr>
        <w:spacing w:line="480" w:lineRule="auto"/>
        <w:jc w:val="both"/>
        <w:rPr>
          <w:rFonts w:hint="cs"/>
          <w:rtl/>
        </w:rPr>
      </w:pPr>
      <w:r>
        <w:rPr>
          <w:rFonts w:hint="cs"/>
          <w:rtl/>
        </w:rPr>
        <w:t xml:space="preserve">במקרה דנן, בו עלולה להווצר התנגשות בין חוק שוויון הזדמנויות בעבודה או חוק שכר שווה לעובדת ולעובד (ראה להלן) לבין זכות היסוד החוקתית של המעביד, נבחן האם חוקים אלו עומדים בתנאי פסקת ההגבלה. הפגיעה מתבססת על הוראות חוק, וחוקים אלו הולמים את ערכיה של מדינת ישראל כמדינה דמוקרטית, שכן הם תואמים את מגילת העצמאות של מדינת </w:t>
      </w:r>
      <w:r>
        <w:rPr>
          <w:rFonts w:hint="cs"/>
          <w:rtl/>
        </w:rPr>
        <w:lastRenderedPageBreak/>
        <w:t xml:space="preserve">ישראל. בנוסף, החוקים נועדו לתכלית ראויה של הגשמת זכויות אדם ועיגון זכות היסוד לשוויון בעבודה, וכן הפגיעה מידתית </w:t>
      </w:r>
      <w:r>
        <w:rPr>
          <w:rtl/>
        </w:rPr>
        <w:t>–</w:t>
      </w:r>
      <w:r>
        <w:rPr>
          <w:rFonts w:hint="cs"/>
          <w:rtl/>
        </w:rPr>
        <w:t xml:space="preserve"> קיימת התאמה בין האמצעי המגביל את חופש החוזים של המעביד לבין המטרה למנוע אפליה בשכר עבודה ויתכן שאכן זהו האמצעי שפגיעתו פחותה. לאור כל האמור לעיל, נראה כי החוקים המצויינים עומדים בתנאי פסקת ההגבלה ולכן הם אמנם פוגעים בזכותו של המעביד, אך ע"פ הדין הם עושים כן.</w:t>
      </w:r>
    </w:p>
    <w:p w:rsidR="00B655C8" w:rsidRDefault="00B655C8" w:rsidP="008E6F7C">
      <w:pPr>
        <w:spacing w:line="480" w:lineRule="auto"/>
        <w:jc w:val="both"/>
        <w:rPr>
          <w:rFonts w:hint="cs"/>
          <w:rtl/>
        </w:rPr>
      </w:pPr>
    </w:p>
    <w:p w:rsidR="00B655C8" w:rsidRDefault="00B655C8" w:rsidP="00A24BB2">
      <w:pPr>
        <w:spacing w:line="480" w:lineRule="auto"/>
        <w:jc w:val="both"/>
        <w:rPr>
          <w:rFonts w:hint="cs"/>
          <w:rtl/>
        </w:rPr>
      </w:pPr>
      <w:r>
        <w:rPr>
          <w:rFonts w:hint="cs"/>
          <w:rtl/>
        </w:rPr>
        <w:t xml:space="preserve">ראוי לציין כי יתכן שחוק יהיה תקף למרות שהוא פוגע בזכות יסוד ואיננו עומד בדרישות פסקת ההגבלה. מצב זה מוסדר בהוראת שמירת דינים, בסעיף 10 לחוק יסוד: כבוד האדם וחירותו. הסעיף קובע כי החקיקה שהיתה בתוקף לפני שחוק היסוד נכנס לתוקף </w:t>
      </w:r>
      <w:r>
        <w:rPr>
          <w:rtl/>
        </w:rPr>
        <w:t>–</w:t>
      </w:r>
      <w:r>
        <w:rPr>
          <w:rFonts w:hint="cs"/>
          <w:rtl/>
        </w:rPr>
        <w:t xml:space="preserve"> תשמר, אם כי לא בהכרח בפרשנותה המקורית.</w:t>
      </w:r>
      <w:r w:rsidR="00A24BB2">
        <w:rPr>
          <w:rFonts w:hint="cs"/>
          <w:rtl/>
        </w:rPr>
        <w:t xml:space="preserve"> במקרה דנן הדברים נוגעים רק לחוק שוויון הזדמנויות בעבודה משנת 1988.</w:t>
      </w:r>
    </w:p>
    <w:p w:rsidR="00B655C8" w:rsidRDefault="00B655C8" w:rsidP="008E6F7C">
      <w:pPr>
        <w:spacing w:line="480" w:lineRule="auto"/>
        <w:jc w:val="both"/>
        <w:rPr>
          <w:rFonts w:hint="cs"/>
          <w:rtl/>
        </w:rPr>
      </w:pPr>
    </w:p>
    <w:p w:rsidR="00B655C8" w:rsidRDefault="00F91538" w:rsidP="008E6F7C">
      <w:pPr>
        <w:spacing w:line="480" w:lineRule="auto"/>
        <w:jc w:val="both"/>
        <w:rPr>
          <w:rFonts w:hint="cs"/>
          <w:rtl/>
        </w:rPr>
      </w:pPr>
      <w:r>
        <w:rPr>
          <w:rFonts w:hint="cs"/>
          <w:rtl/>
        </w:rPr>
        <w:t xml:space="preserve">ב. </w:t>
      </w:r>
      <w:r w:rsidRPr="00D1400D">
        <w:rPr>
          <w:rFonts w:hint="cs"/>
          <w:rtl/>
        </w:rPr>
        <w:t xml:space="preserve">התנגשות בין שתי </w:t>
      </w:r>
      <w:r>
        <w:rPr>
          <w:rFonts w:hint="cs"/>
          <w:rtl/>
        </w:rPr>
        <w:t xml:space="preserve">זכויות יסוד חוקתיות: </w:t>
      </w:r>
      <w:r w:rsidR="00B655C8">
        <w:rPr>
          <w:rFonts w:hint="cs"/>
          <w:rtl/>
        </w:rPr>
        <w:t>התנגשות בין זכות היסוד החוקתית של המעביד לבחור עובדים ולנהל את מפעלו כרצונו לבין זכות היסוד החוקתית של העובד שלא להיות מופלה. בנסיבות אלו, ביהמ"ש קבע כי יש לערוך "איזון אופקי" בין שתי הזכויות בעלות המעמד המשפטי הזהה. האיזון צריך להעשות מבלי להקריב זכות אחת על מזבח חברתה, וצריך לנסות למצוא דרך למימושן המהותי של שתי הזכויות ככל שניתן</w:t>
      </w:r>
      <w:r w:rsidR="00B655C8">
        <w:rPr>
          <w:rStyle w:val="a4"/>
          <w:rtl/>
        </w:rPr>
        <w:footnoteReference w:id="36"/>
      </w:r>
      <w:r w:rsidR="00B655C8">
        <w:rPr>
          <w:rFonts w:hint="cs"/>
          <w:rtl/>
        </w:rPr>
        <w:t xml:space="preserve">. האיזון נעשה באמצעות "נוסחת איזון", אשר בענייננו קובעת כי מקום שבמערכת היחסים בין האזרח למעביד במגזר הציבורי קיימים אינטרסים נוגדים, אזי פגיעה בשוויון יש להצדיק רק </w:t>
      </w:r>
      <w:r w:rsidR="00B655C8" w:rsidRPr="008765E3">
        <w:rPr>
          <w:rFonts w:hint="cs"/>
          <w:b/>
          <w:bCs/>
          <w:rtl/>
        </w:rPr>
        <w:t>כאמצעי אחרון</w:t>
      </w:r>
      <w:r w:rsidR="00B655C8">
        <w:rPr>
          <w:rFonts w:hint="cs"/>
          <w:rtl/>
        </w:rPr>
        <w:t>, לאחר שהתברר כי לא יוכל לדור בכפיפה אחת עם העקרון האחר, וכן רק באותה מדה נדרשת</w:t>
      </w:r>
      <w:r w:rsidR="00B655C8">
        <w:rPr>
          <w:rStyle w:val="a4"/>
          <w:rtl/>
        </w:rPr>
        <w:footnoteReference w:id="37"/>
      </w:r>
      <w:r w:rsidR="00B655C8">
        <w:rPr>
          <w:rFonts w:hint="cs"/>
          <w:rtl/>
        </w:rPr>
        <w:t>.</w:t>
      </w:r>
    </w:p>
    <w:p w:rsidR="00B655C8" w:rsidRPr="00BC1586" w:rsidRDefault="00B655C8" w:rsidP="008E6F7C">
      <w:pPr>
        <w:spacing w:line="480" w:lineRule="auto"/>
        <w:jc w:val="both"/>
        <w:rPr>
          <w:rFonts w:hint="cs"/>
          <w:rtl/>
        </w:rPr>
      </w:pPr>
    </w:p>
    <w:p w:rsidR="00712868" w:rsidRDefault="00712868" w:rsidP="00612E3D">
      <w:pPr>
        <w:pStyle w:val="2"/>
        <w:rPr>
          <w:rFonts w:hint="cs"/>
          <w:rtl/>
        </w:rPr>
      </w:pPr>
      <w:bookmarkStart w:id="25" w:name="_Toc144716277"/>
      <w:r>
        <w:rPr>
          <w:rFonts w:hint="cs"/>
          <w:rtl/>
        </w:rPr>
        <w:t xml:space="preserve">2. </w:t>
      </w:r>
      <w:r w:rsidR="00B655C8" w:rsidRPr="00BC1586">
        <w:rPr>
          <w:rtl/>
        </w:rPr>
        <w:t>שוויון בעבודה כזכות חוקית:</w:t>
      </w:r>
      <w:bookmarkEnd w:id="25"/>
    </w:p>
    <w:p w:rsidR="00B655C8" w:rsidRPr="00712868" w:rsidRDefault="00B655C8" w:rsidP="00712868">
      <w:pPr>
        <w:pStyle w:val="NormalWeb"/>
        <w:bidi/>
        <w:spacing w:line="480" w:lineRule="auto"/>
        <w:jc w:val="both"/>
        <w:rPr>
          <w:rFonts w:ascii="Arial" w:hAnsi="Arial" w:cs="David" w:hint="cs"/>
          <w:b/>
          <w:bCs/>
          <w:color w:val="000000"/>
          <w:sz w:val="28"/>
          <w:szCs w:val="28"/>
          <w:u w:val="single"/>
          <w:rtl/>
        </w:rPr>
      </w:pPr>
      <w:r w:rsidRPr="00BC1586">
        <w:rPr>
          <w:rFonts w:ascii="Arial" w:hAnsi="Arial" w:cs="David" w:hint="cs"/>
          <w:color w:val="000000"/>
          <w:rtl/>
        </w:rPr>
        <w:t>השוויון בעבוד</w:t>
      </w:r>
      <w:r>
        <w:rPr>
          <w:rFonts w:ascii="Arial" w:hAnsi="Arial" w:cs="David" w:hint="cs"/>
          <w:color w:val="000000"/>
          <w:rtl/>
        </w:rPr>
        <w:t xml:space="preserve">ה כזכות יסוד חוקית מוסדר </w:t>
      </w:r>
      <w:r w:rsidRPr="00BC1586">
        <w:rPr>
          <w:rFonts w:ascii="Arial" w:hAnsi="Arial" w:cs="David" w:hint="cs"/>
          <w:color w:val="000000"/>
          <w:rtl/>
        </w:rPr>
        <w:t>בחוק שוויון ההזדמנויות בעבודה, התשמ"ח-1988</w:t>
      </w:r>
      <w:r w:rsidRPr="00BC1586">
        <w:rPr>
          <w:rStyle w:val="a4"/>
          <w:rFonts w:ascii="Arial" w:hAnsi="Arial" w:cs="David"/>
          <w:color w:val="000000"/>
          <w:rtl/>
        </w:rPr>
        <w:footnoteReference w:id="38"/>
      </w:r>
      <w:r>
        <w:rPr>
          <w:rFonts w:ascii="Arial" w:hAnsi="Arial" w:cs="David" w:hint="cs"/>
          <w:color w:val="000000"/>
          <w:rtl/>
        </w:rPr>
        <w:t>, ו</w:t>
      </w:r>
      <w:r w:rsidRPr="00BC1586">
        <w:rPr>
          <w:rFonts w:ascii="Arial" w:hAnsi="Arial" w:cs="David" w:hint="cs"/>
          <w:color w:val="000000"/>
          <w:rtl/>
        </w:rPr>
        <w:t>מושלם על ידי מגוון הוראות חוקיות המתקיימות בצדו</w:t>
      </w:r>
      <w:r>
        <w:rPr>
          <w:rFonts w:ascii="Arial" w:hAnsi="Arial" w:cs="David" w:hint="cs"/>
          <w:color w:val="000000"/>
          <w:rtl/>
        </w:rPr>
        <w:t>. העיקרית שבהן היא חוק שכר</w:t>
      </w:r>
      <w:r w:rsidR="00B41E52">
        <w:rPr>
          <w:rFonts w:ascii="Arial" w:hAnsi="Arial" w:cs="David" w:hint="cs"/>
          <w:color w:val="000000"/>
          <w:rtl/>
        </w:rPr>
        <w:t xml:space="preserve"> שווה</w:t>
      </w:r>
      <w:r>
        <w:rPr>
          <w:rFonts w:ascii="Arial" w:hAnsi="Arial" w:cs="David" w:hint="cs"/>
          <w:color w:val="000000"/>
          <w:rtl/>
        </w:rPr>
        <w:t xml:space="preserve"> לעובדת ולעובד, התשנ"ו-1996</w:t>
      </w:r>
      <w:r>
        <w:rPr>
          <w:rStyle w:val="a4"/>
          <w:rFonts w:ascii="Arial" w:hAnsi="Arial" w:cs="David"/>
          <w:color w:val="000000"/>
          <w:rtl/>
        </w:rPr>
        <w:footnoteReference w:id="39"/>
      </w:r>
      <w:r>
        <w:rPr>
          <w:rFonts w:ascii="Arial" w:hAnsi="Arial" w:cs="David" w:hint="cs"/>
          <w:color w:val="000000"/>
          <w:rtl/>
        </w:rPr>
        <w:t>.</w:t>
      </w:r>
    </w:p>
    <w:p w:rsidR="00B655C8" w:rsidRPr="006B428D" w:rsidRDefault="00B655C8" w:rsidP="008E6F7C">
      <w:pPr>
        <w:pStyle w:val="NormalWeb"/>
        <w:bidi/>
        <w:spacing w:line="480" w:lineRule="auto"/>
        <w:jc w:val="both"/>
        <w:rPr>
          <w:rFonts w:ascii="Arial" w:hAnsi="Arial" w:cs="David"/>
          <w:i/>
          <w:iCs/>
          <w:color w:val="000000"/>
          <w:rtl/>
        </w:rPr>
      </w:pPr>
      <w:r w:rsidRPr="006B428D">
        <w:rPr>
          <w:rFonts w:ascii="Arial" w:hAnsi="Arial" w:cs="David" w:hint="cs"/>
          <w:i/>
          <w:iCs/>
          <w:color w:val="000000"/>
          <w:rtl/>
        </w:rPr>
        <w:lastRenderedPageBreak/>
        <w:t xml:space="preserve"> סעיף 2 לחוק שוויון הזדמנויות בעבודה מדבר על שכר עבודה:</w:t>
      </w:r>
    </w:p>
    <w:p w:rsidR="00B655C8" w:rsidRPr="006B428D" w:rsidRDefault="00B655C8" w:rsidP="008E6F7C">
      <w:pPr>
        <w:pStyle w:val="NormalWeb"/>
        <w:bidi/>
        <w:spacing w:line="480" w:lineRule="auto"/>
        <w:ind w:left="720"/>
        <w:jc w:val="both"/>
        <w:rPr>
          <w:rFonts w:ascii="Arial" w:hAnsi="Arial" w:cs="David" w:hint="cs"/>
          <w:i/>
          <w:iCs/>
          <w:color w:val="000000"/>
          <w:rtl/>
        </w:rPr>
      </w:pPr>
      <w:r w:rsidRPr="006B428D">
        <w:rPr>
          <w:rFonts w:ascii="Arial" w:hAnsi="Arial" w:cs="David" w:hint="cs"/>
          <w:i/>
          <w:iCs/>
          <w:color w:val="000000"/>
          <w:rtl/>
        </w:rPr>
        <w:t xml:space="preserve">2. </w:t>
      </w:r>
      <w:r w:rsidRPr="006B428D">
        <w:rPr>
          <w:rFonts w:ascii="Arial" w:hAnsi="Arial" w:cs="David"/>
          <w:i/>
          <w:iCs/>
          <w:color w:val="000000"/>
          <w:rtl/>
        </w:rPr>
        <w:t xml:space="preserve">איסור הפליה </w:t>
      </w:r>
    </w:p>
    <w:p w:rsidR="00B655C8" w:rsidRPr="006B428D" w:rsidRDefault="00B655C8" w:rsidP="008E6F7C">
      <w:pPr>
        <w:pStyle w:val="NormalWeb"/>
        <w:bidi/>
        <w:spacing w:line="480" w:lineRule="auto"/>
        <w:ind w:left="720"/>
        <w:jc w:val="both"/>
        <w:rPr>
          <w:rFonts w:ascii="Arial" w:hAnsi="Arial" w:cs="David" w:hint="cs"/>
          <w:i/>
          <w:iCs/>
          <w:color w:val="000000"/>
          <w:rtl/>
        </w:rPr>
      </w:pPr>
      <w:r w:rsidRPr="006B428D">
        <w:rPr>
          <w:rFonts w:ascii="Arial" w:hAnsi="Arial" w:cs="David" w:hint="cs"/>
          <w:i/>
          <w:iCs/>
          <w:color w:val="000000"/>
          <w:rtl/>
        </w:rPr>
        <w:t>(</w:t>
      </w:r>
      <w:r w:rsidRPr="006B428D">
        <w:rPr>
          <w:rFonts w:ascii="Arial" w:hAnsi="Arial" w:cs="David"/>
          <w:i/>
          <w:iCs/>
          <w:color w:val="000000"/>
          <w:rtl/>
        </w:rPr>
        <w:t>א) לא יפלה מעביד בין עובדיו או בין דורשי עבודה מחמת מינם, נטייתם המינית, מעמדם האישי, הריון, היותם הורים, גילם, גזעם, דתם, לאומיותם, ארץ מוצאם, השקפתם, מפלגתם או שירותם במילואים</w:t>
      </w:r>
      <w:r w:rsidRPr="006B428D">
        <w:rPr>
          <w:rFonts w:ascii="Arial" w:hAnsi="Arial" w:cs="David" w:hint="cs"/>
          <w:i/>
          <w:iCs/>
          <w:color w:val="000000"/>
          <w:rtl/>
        </w:rPr>
        <w:t xml:space="preserve">... </w:t>
      </w:r>
      <w:r w:rsidRPr="006B428D">
        <w:rPr>
          <w:rFonts w:ascii="Arial" w:hAnsi="Arial" w:cs="David"/>
          <w:i/>
          <w:iCs/>
          <w:color w:val="000000"/>
          <w:rtl/>
        </w:rPr>
        <w:t xml:space="preserve"> בכל אחד מאלה</w:t>
      </w:r>
      <w:r w:rsidRPr="006B428D">
        <w:rPr>
          <w:rFonts w:ascii="Arial" w:hAnsi="Arial" w:cs="David"/>
          <w:i/>
          <w:iCs/>
          <w:color w:val="000000"/>
        </w:rPr>
        <w:t>:</w:t>
      </w:r>
    </w:p>
    <w:p w:rsidR="00B655C8" w:rsidRPr="006B428D" w:rsidRDefault="006B428D" w:rsidP="008E6F7C">
      <w:pPr>
        <w:pStyle w:val="NormalWeb"/>
        <w:bidi/>
        <w:spacing w:line="480" w:lineRule="auto"/>
        <w:ind w:left="720"/>
        <w:jc w:val="both"/>
        <w:rPr>
          <w:rFonts w:ascii="Arial" w:hAnsi="Arial" w:cs="David" w:hint="cs"/>
          <w:i/>
          <w:iCs/>
          <w:color w:val="000000"/>
          <w:rtl/>
        </w:rPr>
      </w:pPr>
      <w:r>
        <w:rPr>
          <w:rFonts w:cs="David" w:hint="cs"/>
          <w:i/>
          <w:iCs/>
          <w:rtl/>
        </w:rPr>
        <w:t>...</w:t>
      </w:r>
      <w:r w:rsidR="00B655C8" w:rsidRPr="006B428D">
        <w:rPr>
          <w:rFonts w:cs="David" w:hint="cs"/>
          <w:i/>
          <w:iCs/>
          <w:rtl/>
        </w:rPr>
        <w:t xml:space="preserve">(2) </w:t>
      </w:r>
      <w:r w:rsidR="00B655C8" w:rsidRPr="006B428D">
        <w:rPr>
          <w:rFonts w:cs="David"/>
          <w:i/>
          <w:iCs/>
          <w:rtl/>
        </w:rPr>
        <w:t>תנאי עבודה</w:t>
      </w:r>
      <w:r w:rsidR="00B655C8" w:rsidRPr="006B428D">
        <w:rPr>
          <w:rFonts w:cs="David"/>
          <w:i/>
          <w:iCs/>
        </w:rPr>
        <w:t>;</w:t>
      </w:r>
    </w:p>
    <w:p w:rsidR="00B655C8" w:rsidRPr="00BC1586" w:rsidRDefault="00B655C8" w:rsidP="008E6F7C">
      <w:pPr>
        <w:spacing w:line="480" w:lineRule="auto"/>
        <w:jc w:val="both"/>
        <w:rPr>
          <w:rFonts w:hint="cs"/>
          <w:rtl/>
        </w:rPr>
      </w:pPr>
      <w:r w:rsidRPr="00BC1586">
        <w:rPr>
          <w:rFonts w:hint="cs"/>
          <w:rtl/>
        </w:rPr>
        <w:t xml:space="preserve">כפי שניתן לראות, הסעיף אוסר על המעביד להפלות בין עובדיו מחמת מינם, בין היתר בכל הקשור לתנאי עבודתם, הכוללים ככאלה גם את שכר העבודה. </w:t>
      </w:r>
    </w:p>
    <w:p w:rsidR="00B655C8" w:rsidRPr="00BC1586" w:rsidRDefault="00B655C8" w:rsidP="008E6F7C">
      <w:pPr>
        <w:spacing w:line="480" w:lineRule="auto"/>
        <w:jc w:val="both"/>
        <w:rPr>
          <w:rFonts w:hint="cs"/>
          <w:rtl/>
        </w:rPr>
      </w:pPr>
      <w:r w:rsidRPr="00BC1586">
        <w:rPr>
          <w:rFonts w:hint="cs"/>
          <w:rtl/>
        </w:rPr>
        <w:t>סעיף 2 ממשיך וקובע כי:</w:t>
      </w:r>
    </w:p>
    <w:p w:rsidR="00B655C8" w:rsidRPr="00BC1586" w:rsidRDefault="00B655C8" w:rsidP="008E6F7C">
      <w:pPr>
        <w:spacing w:line="480" w:lineRule="auto"/>
        <w:jc w:val="both"/>
        <w:rPr>
          <w:rFonts w:hint="cs"/>
          <w:b/>
          <w:bCs/>
          <w:rtl/>
        </w:rPr>
      </w:pPr>
    </w:p>
    <w:p w:rsidR="00B655C8" w:rsidRPr="00BC1586" w:rsidRDefault="00B655C8" w:rsidP="008E6F7C">
      <w:pPr>
        <w:spacing w:line="480" w:lineRule="auto"/>
        <w:ind w:firstLine="720"/>
        <w:jc w:val="both"/>
        <w:rPr>
          <w:b/>
          <w:bCs/>
          <w:rtl/>
        </w:rPr>
      </w:pPr>
      <w:r w:rsidRPr="00BC1586">
        <w:rPr>
          <w:b/>
          <w:bCs/>
          <w:rtl/>
        </w:rPr>
        <w:t>(ב) לענין סעיף קט</w:t>
      </w:r>
      <w:r w:rsidRPr="00BC1586">
        <w:rPr>
          <w:rFonts w:hint="cs"/>
          <w:b/>
          <w:bCs/>
          <w:rtl/>
        </w:rPr>
        <w:t xml:space="preserve">ן </w:t>
      </w:r>
      <w:r w:rsidRPr="00BC1586">
        <w:rPr>
          <w:b/>
          <w:bCs/>
          <w:rtl/>
        </w:rPr>
        <w:t>(א)</w:t>
      </w:r>
      <w:r w:rsidRPr="00BC1586">
        <w:rPr>
          <w:rFonts w:hint="cs"/>
          <w:b/>
          <w:bCs/>
          <w:rtl/>
        </w:rPr>
        <w:t>...</w:t>
      </w:r>
      <w:r w:rsidRPr="00BC1586">
        <w:rPr>
          <w:b/>
          <w:bCs/>
          <w:rtl/>
        </w:rPr>
        <w:t xml:space="preserve"> רואים כהפליה גם קביעת תנאים שלא ממין הענין.</w:t>
      </w:r>
    </w:p>
    <w:p w:rsidR="00B655C8" w:rsidRPr="00BC1586" w:rsidRDefault="00B655C8" w:rsidP="008E6F7C">
      <w:pPr>
        <w:spacing w:line="480" w:lineRule="auto"/>
        <w:jc w:val="both"/>
        <w:rPr>
          <w:rFonts w:hint="cs"/>
          <w:rtl/>
        </w:rPr>
      </w:pPr>
    </w:p>
    <w:p w:rsidR="00B655C8" w:rsidRPr="00BC1586" w:rsidRDefault="00B655C8" w:rsidP="00F96B9F">
      <w:pPr>
        <w:spacing w:line="480" w:lineRule="auto"/>
        <w:jc w:val="both"/>
        <w:rPr>
          <w:rFonts w:hint="cs"/>
          <w:rtl/>
        </w:rPr>
      </w:pPr>
      <w:r w:rsidRPr="00BC1586">
        <w:rPr>
          <w:rFonts w:hint="cs"/>
          <w:rtl/>
        </w:rPr>
        <w:t>בהוראה זו נאסרה אפליה עקיפה. המשמעות המיידית של פסילת תנאי שלא מן המניין היא, כי כל תנאי שאינו מתייחס לביצוע התפקיד ייחשב לתנאי מפלה, אם יש לו תוצאה פוגעת בקשר לקבלה לעבודה או לתנאי עבודה. כך למשל בענייננו, ניתן לומר כי קיום תנאי של הוכחת בעלות על רכב, המשפיע על החזר כספי שהינו חלק מן השכר הוא אינו ממין העניין, וככזה הוא תנאי מפלה. אך ניתן לטעון מנגד כי תנאי זה קשור מהותית להחזר הניתן</w:t>
      </w:r>
      <w:r>
        <w:rPr>
          <w:rFonts w:hint="cs"/>
          <w:rtl/>
        </w:rPr>
        <w:t>, והוא מתייחס לביצוע התפקיד- כיוון שההחזר ניתן לנסיעה ברכ</w:t>
      </w:r>
      <w:r w:rsidR="00F96B9F">
        <w:rPr>
          <w:rFonts w:hint="cs"/>
          <w:rtl/>
        </w:rPr>
        <w:t>ב מסויים לאורך דרך מסוימת</w:t>
      </w:r>
      <w:r>
        <w:rPr>
          <w:rFonts w:hint="cs"/>
          <w:rtl/>
        </w:rPr>
        <w:t xml:space="preserve"> </w:t>
      </w:r>
      <w:r>
        <w:rPr>
          <w:rtl/>
        </w:rPr>
        <w:t>–</w:t>
      </w:r>
      <w:r>
        <w:rPr>
          <w:rFonts w:hint="cs"/>
          <w:rtl/>
        </w:rPr>
        <w:t xml:space="preserve"> כחלק מדרישות התפקיד,</w:t>
      </w:r>
      <w:r w:rsidRPr="00BC1586">
        <w:rPr>
          <w:rFonts w:hint="cs"/>
          <w:rtl/>
        </w:rPr>
        <w:t xml:space="preserve"> ו</w:t>
      </w:r>
      <w:r>
        <w:rPr>
          <w:rFonts w:hint="cs"/>
          <w:rtl/>
        </w:rPr>
        <w:t>לכן</w:t>
      </w:r>
      <w:r w:rsidRPr="00BC1586">
        <w:rPr>
          <w:rFonts w:hint="cs"/>
          <w:rtl/>
        </w:rPr>
        <w:t xml:space="preserve"> </w:t>
      </w:r>
      <w:r>
        <w:rPr>
          <w:rFonts w:hint="cs"/>
          <w:rtl/>
        </w:rPr>
        <w:t xml:space="preserve">תנאי זה </w:t>
      </w:r>
      <w:r w:rsidRPr="00BC1586">
        <w:rPr>
          <w:rFonts w:hint="cs"/>
          <w:rtl/>
        </w:rPr>
        <w:t>אינו מפלה.</w:t>
      </w:r>
    </w:p>
    <w:p w:rsidR="00B655C8" w:rsidRPr="00BC1586" w:rsidRDefault="00B655C8" w:rsidP="008E6F7C">
      <w:pPr>
        <w:spacing w:line="480" w:lineRule="auto"/>
        <w:jc w:val="both"/>
        <w:rPr>
          <w:rFonts w:hint="cs"/>
          <w:rtl/>
        </w:rPr>
      </w:pPr>
    </w:p>
    <w:p w:rsidR="00B655C8" w:rsidRPr="00BC1586" w:rsidRDefault="00B655C8" w:rsidP="008E6F7C">
      <w:pPr>
        <w:spacing w:line="480" w:lineRule="auto"/>
        <w:jc w:val="both"/>
        <w:rPr>
          <w:rFonts w:hint="cs"/>
          <w:rtl/>
        </w:rPr>
      </w:pPr>
    </w:p>
    <w:p w:rsidR="00B655C8" w:rsidRPr="00BC1586" w:rsidRDefault="00B655C8" w:rsidP="008E6F7C">
      <w:pPr>
        <w:spacing w:line="480" w:lineRule="auto"/>
        <w:jc w:val="both"/>
        <w:rPr>
          <w:rFonts w:hint="cs"/>
          <w:rtl/>
        </w:rPr>
      </w:pPr>
      <w:r w:rsidRPr="00BC1586">
        <w:rPr>
          <w:rFonts w:hint="cs"/>
          <w:rtl/>
        </w:rPr>
        <w:t xml:space="preserve">כיום ניתן לתבוע השוואת שכר בעד עבודה שווה, במקביל, גם מכח חוק מיוחד האוסר אפליה בשכר מטעם מין: חוק שכר שווה לעובדת ולעובד. </w:t>
      </w:r>
    </w:p>
    <w:p w:rsidR="00B655C8" w:rsidRPr="00BC1586" w:rsidRDefault="00B655C8" w:rsidP="008E6F7C">
      <w:pPr>
        <w:spacing w:line="480" w:lineRule="auto"/>
        <w:jc w:val="both"/>
        <w:rPr>
          <w:rFonts w:hint="cs"/>
          <w:rtl/>
        </w:rPr>
      </w:pPr>
      <w:r w:rsidRPr="00BC1586">
        <w:rPr>
          <w:rFonts w:hint="cs"/>
          <w:rtl/>
        </w:rPr>
        <w:lastRenderedPageBreak/>
        <w:t xml:space="preserve">האפשרות הגלומה בחוק זה הינה </w:t>
      </w:r>
      <w:r w:rsidRPr="00BC1586">
        <w:rPr>
          <w:rFonts w:hint="cs"/>
          <w:b/>
          <w:bCs/>
          <w:rtl/>
        </w:rPr>
        <w:t>רחבה</w:t>
      </w:r>
      <w:r w:rsidRPr="00BC1586">
        <w:rPr>
          <w:rFonts w:hint="cs"/>
          <w:rtl/>
        </w:rPr>
        <w:t xml:space="preserve"> יותר מזו של חוק שוויון ההזדמנויות בעבודה, מאחר שהיא מאפשרת תביעה להשוואת שכר גם בגין </w:t>
      </w:r>
      <w:r w:rsidRPr="009615C0">
        <w:rPr>
          <w:rFonts w:hint="cs"/>
          <w:b/>
          <w:bCs/>
          <w:rtl/>
        </w:rPr>
        <w:t>עבודה שוות ערך</w:t>
      </w:r>
      <w:r w:rsidRPr="00BC1586">
        <w:rPr>
          <w:rFonts w:hint="cs"/>
          <w:rtl/>
        </w:rPr>
        <w:t xml:space="preserve"> ולא רק בגין עבודה שווה, ולפיכך נתמקד בחוק שכר שווה לעובדת ולעובד.</w:t>
      </w:r>
    </w:p>
    <w:p w:rsidR="00B655C8" w:rsidRPr="00BC1586" w:rsidRDefault="00B655C8" w:rsidP="008E6F7C">
      <w:pPr>
        <w:pStyle w:val="NormalWeb"/>
        <w:bidi/>
        <w:spacing w:line="480" w:lineRule="auto"/>
        <w:jc w:val="both"/>
        <w:rPr>
          <w:rFonts w:cs="David" w:hint="cs"/>
          <w:color w:val="000000"/>
          <w:rtl/>
        </w:rPr>
      </w:pPr>
      <w:r>
        <w:rPr>
          <w:rFonts w:cs="David" w:hint="cs"/>
          <w:rtl/>
        </w:rPr>
        <w:t xml:space="preserve">מבחינה היסטורית, הבטחת עקרון השוויון בשכר </w:t>
      </w:r>
      <w:r w:rsidRPr="00BC1586">
        <w:rPr>
          <w:rFonts w:cs="David" w:hint="cs"/>
          <w:color w:val="000000"/>
          <w:rtl/>
        </w:rPr>
        <w:t>התפתחה</w:t>
      </w:r>
      <w:r>
        <w:rPr>
          <w:rFonts w:cs="David" w:hint="cs"/>
          <w:color w:val="000000"/>
          <w:rtl/>
        </w:rPr>
        <w:t xml:space="preserve"> בישראל</w:t>
      </w:r>
      <w:r w:rsidRPr="00BC1586">
        <w:rPr>
          <w:rFonts w:cs="David" w:hint="cs"/>
          <w:color w:val="000000"/>
          <w:rtl/>
        </w:rPr>
        <w:t xml:space="preserve"> במספר שלבים. תחילתה בחוק שכר שווה לעובדת ולעובד משנת 1964, שבמסגרתו עוגן עקרון השכר השווה בעבור </w:t>
      </w:r>
      <w:r w:rsidRPr="00FF5171">
        <w:rPr>
          <w:rFonts w:cs="David" w:hint="cs"/>
          <w:b/>
          <w:bCs/>
          <w:color w:val="000000"/>
          <w:rtl/>
        </w:rPr>
        <w:t>עבודה שווה</w:t>
      </w:r>
      <w:r w:rsidRPr="00BC1586">
        <w:rPr>
          <w:rFonts w:cs="David" w:hint="cs"/>
          <w:color w:val="000000"/>
          <w:rtl/>
        </w:rPr>
        <w:t xml:space="preserve">, ושיאה בחקיקת חוק שכר שווה לעובדת ולעובד משנת 1996, המעגן את עקרון השכר השווה בעבור </w:t>
      </w:r>
      <w:r w:rsidRPr="00FF5171">
        <w:rPr>
          <w:rFonts w:cs="David" w:hint="cs"/>
          <w:b/>
          <w:bCs/>
          <w:color w:val="000000"/>
          <w:rtl/>
        </w:rPr>
        <w:t>עבודה שוות ערך</w:t>
      </w:r>
      <w:r w:rsidRPr="00BC1586">
        <w:rPr>
          <w:rFonts w:cs="David" w:hint="cs"/>
          <w:color w:val="000000"/>
          <w:rtl/>
        </w:rPr>
        <w:t>, ובלבד שמדובר בעובד ועובדת המועסקים בידי אותו מעביד ועבודתם מתבצעת באותו מקום עבודה.</w:t>
      </w:r>
    </w:p>
    <w:p w:rsidR="00B655C8" w:rsidRPr="00BC1586" w:rsidRDefault="00B655C8" w:rsidP="008E6F7C">
      <w:pPr>
        <w:pStyle w:val="NormalWeb"/>
        <w:bidi/>
        <w:spacing w:line="480" w:lineRule="auto"/>
        <w:jc w:val="both"/>
        <w:rPr>
          <w:rFonts w:cs="David" w:hint="cs"/>
          <w:color w:val="000000"/>
          <w:rtl/>
        </w:rPr>
      </w:pPr>
      <w:r w:rsidRPr="00BC1586">
        <w:rPr>
          <w:rFonts w:cs="David" w:hint="cs"/>
          <w:color w:val="000000"/>
          <w:rtl/>
        </w:rPr>
        <w:t>סעיף 1 לחוק שכר שווה לעובדת ולעובד מגדיר את מטרת החוק:</w:t>
      </w:r>
    </w:p>
    <w:p w:rsidR="00B655C8" w:rsidRPr="006B428D" w:rsidRDefault="00B655C8" w:rsidP="008E6F7C">
      <w:pPr>
        <w:pStyle w:val="NormalWeb"/>
        <w:bidi/>
        <w:spacing w:line="480" w:lineRule="auto"/>
        <w:ind w:left="720"/>
        <w:jc w:val="both"/>
        <w:rPr>
          <w:rFonts w:cs="David" w:hint="cs"/>
          <w:i/>
          <w:iCs/>
          <w:color w:val="000000"/>
          <w:rtl/>
        </w:rPr>
      </w:pPr>
      <w:r w:rsidRPr="006B428D">
        <w:rPr>
          <w:rFonts w:cs="David" w:hint="cs"/>
          <w:i/>
          <w:iCs/>
          <w:color w:val="000000"/>
          <w:rtl/>
        </w:rPr>
        <w:t>"</w:t>
      </w:r>
      <w:r w:rsidRPr="006B428D">
        <w:rPr>
          <w:rFonts w:cs="David"/>
          <w:i/>
          <w:iCs/>
          <w:color w:val="000000"/>
          <w:rtl/>
        </w:rPr>
        <w:t>חוק זה נועד לקדם שוויון ולמנוע אפליה בין המינים בכל הנוגע לשכר או לכל גמול אחר בקשר לעבודה</w:t>
      </w:r>
      <w:r w:rsidRPr="006B428D">
        <w:rPr>
          <w:rFonts w:cs="David" w:hint="cs"/>
          <w:i/>
          <w:iCs/>
          <w:color w:val="000000"/>
          <w:rtl/>
        </w:rPr>
        <w:t>"</w:t>
      </w:r>
    </w:p>
    <w:p w:rsidR="00B655C8" w:rsidRPr="00BC1586" w:rsidRDefault="00B655C8" w:rsidP="008E6F7C">
      <w:pPr>
        <w:pStyle w:val="NormalWeb"/>
        <w:bidi/>
        <w:spacing w:line="480" w:lineRule="auto"/>
        <w:jc w:val="both"/>
        <w:rPr>
          <w:rFonts w:cs="David" w:hint="cs"/>
          <w:color w:val="000000"/>
          <w:rtl/>
        </w:rPr>
      </w:pPr>
      <w:r w:rsidRPr="00BC1586">
        <w:rPr>
          <w:rFonts w:cs="David" w:hint="cs"/>
          <w:color w:val="000000"/>
          <w:rtl/>
        </w:rPr>
        <w:t xml:space="preserve">סעיף 2 לחוק זה קובע כי חובת ההשוואה בין העובדים לעובדות חלה לא רק על שכר העבודה במובנו הצר, אלא גם על </w:t>
      </w:r>
      <w:r w:rsidRPr="00BC1586">
        <w:rPr>
          <w:rFonts w:cs="David" w:hint="cs"/>
          <w:b/>
          <w:bCs/>
          <w:color w:val="000000"/>
          <w:rtl/>
        </w:rPr>
        <w:t>כל גמול אחר</w:t>
      </w:r>
      <w:r w:rsidRPr="00BC1586">
        <w:rPr>
          <w:rFonts w:cs="David" w:hint="cs"/>
          <w:color w:val="000000"/>
          <w:rtl/>
        </w:rPr>
        <w:t xml:space="preserve"> שנותן המעביד לעובד בקשר לעבודה:</w:t>
      </w:r>
    </w:p>
    <w:p w:rsidR="00B655C8" w:rsidRPr="006B428D" w:rsidRDefault="00B655C8" w:rsidP="008E6F7C">
      <w:pPr>
        <w:pStyle w:val="NormalWeb"/>
        <w:bidi/>
        <w:spacing w:line="480" w:lineRule="auto"/>
        <w:ind w:left="720"/>
        <w:jc w:val="both"/>
        <w:rPr>
          <w:rFonts w:cs="David" w:hint="cs"/>
          <w:i/>
          <w:iCs/>
          <w:color w:val="000000"/>
          <w:rtl/>
        </w:rPr>
      </w:pPr>
      <w:r w:rsidRPr="006B428D">
        <w:rPr>
          <w:rFonts w:cs="David" w:hint="cs"/>
          <w:i/>
          <w:iCs/>
          <w:color w:val="000000"/>
          <w:rtl/>
        </w:rPr>
        <w:t>2. הזכות לשכר שווה</w:t>
      </w:r>
    </w:p>
    <w:p w:rsidR="00B655C8" w:rsidRPr="006B428D" w:rsidRDefault="00B655C8" w:rsidP="008E6F7C">
      <w:pPr>
        <w:pStyle w:val="NormalWeb"/>
        <w:bidi/>
        <w:spacing w:line="480" w:lineRule="auto"/>
        <w:ind w:left="720"/>
        <w:jc w:val="both"/>
        <w:rPr>
          <w:rFonts w:cs="David" w:hint="cs"/>
          <w:i/>
          <w:iCs/>
          <w:color w:val="000000"/>
          <w:rtl/>
        </w:rPr>
      </w:pPr>
      <w:r w:rsidRPr="006B428D">
        <w:rPr>
          <w:rFonts w:cs="David"/>
          <w:i/>
          <w:iCs/>
          <w:color w:val="000000"/>
          <w:rtl/>
        </w:rPr>
        <w:t xml:space="preserve">עובדת ועובד המועסקים אצל אותו מעביד באותו מקום עבודה, זכאים לשכר שווה בעד אותה עבודה, עבודה שווה בעיקרה או עבודה שוות ערך; הוראה זו תחול גם לענין כל גמול אחר, שנותן מעביד לעובד או עבורו בקשר לעבודתו; </w:t>
      </w:r>
    </w:p>
    <w:p w:rsidR="00B655C8" w:rsidRPr="006B428D" w:rsidRDefault="00B655C8" w:rsidP="008E6F7C">
      <w:pPr>
        <w:pStyle w:val="NormalWeb"/>
        <w:bidi/>
        <w:spacing w:line="480" w:lineRule="auto"/>
        <w:ind w:left="720"/>
        <w:jc w:val="both"/>
        <w:rPr>
          <w:rFonts w:cs="David"/>
          <w:i/>
          <w:iCs/>
          <w:color w:val="000000"/>
          <w:rtl/>
        </w:rPr>
      </w:pPr>
      <w:r w:rsidRPr="006B428D">
        <w:rPr>
          <w:rFonts w:cs="David"/>
          <w:i/>
          <w:iCs/>
          <w:color w:val="000000"/>
          <w:rtl/>
        </w:rPr>
        <w:t>לענין חוק זה, "גמול אחר" - כל תוספת, טובת הנאה, קצובה, מענק, תנאים נלווים, תשלום לכיסוי הוצאות, תשלומים בשל החזקת רכב, שימוש בטלפון, מכסת שעות נוספות, רכישת ספרות מקצועית, ביגוד, שימוש ברכב, או כל תגמול אחר בכסף או בשווה כסף, במישרין או בעקיפין, והכל אף אם אינם שכר עבודה</w:t>
      </w:r>
      <w:r w:rsidRPr="006B428D">
        <w:rPr>
          <w:rFonts w:cs="David"/>
          <w:i/>
          <w:iCs/>
          <w:color w:val="000000"/>
        </w:rPr>
        <w:t xml:space="preserve">. </w:t>
      </w:r>
    </w:p>
    <w:p w:rsidR="00B655C8" w:rsidRDefault="00B655C8" w:rsidP="008E6F7C">
      <w:pPr>
        <w:pStyle w:val="NormalWeb"/>
        <w:bidi/>
        <w:spacing w:line="480" w:lineRule="auto"/>
        <w:jc w:val="both"/>
        <w:rPr>
          <w:rFonts w:cs="David" w:hint="cs"/>
          <w:color w:val="000000"/>
          <w:rtl/>
        </w:rPr>
      </w:pPr>
      <w:r w:rsidRPr="00BC1586">
        <w:rPr>
          <w:rFonts w:cs="David" w:hint="cs"/>
          <w:color w:val="000000"/>
          <w:rtl/>
        </w:rPr>
        <w:t>דהיינו, לפי סעיף 2 לחוק יש להשוות את שכר העובדת והעובד גם בפרמטרים הנלווים, אשר בסעיף זה הוגדרו באופן נרחב ביותר, וכוללים בין השאר טובות הנאה מכל סוג שהוא, תשלומים לכיסוי הוצאות ותשלומים בשל החזקת רכב.</w:t>
      </w:r>
      <w:r>
        <w:rPr>
          <w:rFonts w:cs="David" w:hint="cs"/>
          <w:color w:val="000000"/>
          <w:rtl/>
        </w:rPr>
        <w:t xml:space="preserve"> </w:t>
      </w:r>
      <w:r w:rsidRPr="00BC1586">
        <w:rPr>
          <w:rFonts w:cs="David" w:hint="cs"/>
          <w:color w:val="000000"/>
          <w:rtl/>
        </w:rPr>
        <w:t xml:space="preserve"> </w:t>
      </w:r>
    </w:p>
    <w:p w:rsidR="00B655C8" w:rsidRDefault="00B655C8" w:rsidP="008C5CF0">
      <w:pPr>
        <w:pStyle w:val="NormalWeb"/>
        <w:bidi/>
        <w:spacing w:line="480" w:lineRule="auto"/>
        <w:jc w:val="both"/>
        <w:rPr>
          <w:rFonts w:cs="David" w:hint="cs"/>
          <w:color w:val="000000"/>
          <w:rtl/>
        </w:rPr>
      </w:pPr>
      <w:r>
        <w:rPr>
          <w:rFonts w:cs="David" w:hint="cs"/>
          <w:color w:val="000000"/>
          <w:rtl/>
        </w:rPr>
        <w:lastRenderedPageBreak/>
        <w:t xml:space="preserve">במקרה דנן, ניתן לטעון לאור סעיפים אלו כי קיימת אפליה בין המינים בכל הנוגע לטובת הנאה, המהווה גמול הקשור לעבודה, </w:t>
      </w:r>
      <w:r w:rsidR="00EA6075">
        <w:rPr>
          <w:rFonts w:cs="David" w:hint="cs"/>
          <w:color w:val="000000"/>
          <w:rtl/>
        </w:rPr>
        <w:t>לאור</w:t>
      </w:r>
      <w:r>
        <w:rPr>
          <w:rFonts w:cs="David" w:hint="cs"/>
          <w:color w:val="000000"/>
          <w:rtl/>
        </w:rPr>
        <w:t xml:space="preserve"> </w:t>
      </w:r>
      <w:r w:rsidR="00EA6075">
        <w:rPr>
          <w:rFonts w:cs="David" w:hint="cs"/>
          <w:color w:val="000000"/>
          <w:rtl/>
        </w:rPr>
        <w:t>ה</w:t>
      </w:r>
      <w:r>
        <w:rPr>
          <w:rFonts w:cs="David" w:hint="cs"/>
          <w:color w:val="000000"/>
          <w:rtl/>
        </w:rPr>
        <w:t xml:space="preserve">נתונים </w:t>
      </w:r>
      <w:r w:rsidR="00EA6075">
        <w:rPr>
          <w:rFonts w:cs="David" w:hint="cs"/>
          <w:color w:val="000000"/>
          <w:rtl/>
        </w:rPr>
        <w:t>ה</w:t>
      </w:r>
      <w:r>
        <w:rPr>
          <w:rFonts w:cs="David" w:hint="cs"/>
          <w:color w:val="000000"/>
          <w:rtl/>
        </w:rPr>
        <w:t xml:space="preserve">מוכיחים כי </w:t>
      </w:r>
      <w:r w:rsidR="00EA6075">
        <w:rPr>
          <w:rFonts w:cs="David" w:hint="cs"/>
          <w:color w:val="000000"/>
          <w:rtl/>
        </w:rPr>
        <w:t>מספר</w:t>
      </w:r>
      <w:r>
        <w:rPr>
          <w:rFonts w:cs="David" w:hint="cs"/>
          <w:color w:val="000000"/>
          <w:rtl/>
        </w:rPr>
        <w:t xml:space="preserve"> הנשים המחזיקות ברשיונות נהיגה נמוך באופן משמעותי מזה של הגברים</w:t>
      </w:r>
      <w:r w:rsidR="00EA6075">
        <w:rPr>
          <w:rFonts w:cs="David" w:hint="cs"/>
          <w:color w:val="000000"/>
          <w:rtl/>
        </w:rPr>
        <w:t xml:space="preserve"> (נספח ג)</w:t>
      </w:r>
      <w:r>
        <w:rPr>
          <w:rFonts w:cs="David" w:hint="cs"/>
          <w:color w:val="000000"/>
          <w:rtl/>
        </w:rPr>
        <w:t>, וכאשר החזקת רשיון בר-תוקף הינו תנאי לקבלת ההטבה, הרי שנוצרת בפועל אפליה בין המינים בתשלום שכר עבודתם.</w:t>
      </w:r>
      <w:r w:rsidR="00EA6075">
        <w:rPr>
          <w:rFonts w:cs="David" w:hint="cs"/>
          <w:color w:val="000000"/>
          <w:rtl/>
        </w:rPr>
        <w:t xml:space="preserve"> בנוסף לכך, ניתן לראות בדו"ח הוצאות השכר בשירות המדינה</w:t>
      </w:r>
      <w:r w:rsidR="00F67AEE">
        <w:rPr>
          <w:rFonts w:cs="David" w:hint="cs"/>
          <w:color w:val="000000"/>
          <w:rtl/>
        </w:rPr>
        <w:t xml:space="preserve"> (נספח ד)</w:t>
      </w:r>
      <w:r w:rsidR="00EA6075">
        <w:rPr>
          <w:rFonts w:cs="David" w:hint="cs"/>
          <w:color w:val="000000"/>
          <w:rtl/>
        </w:rPr>
        <w:t>, אשר ראה אור בימים אלו, כי</w:t>
      </w:r>
      <w:r w:rsidR="008C5CF0">
        <w:rPr>
          <w:rFonts w:cs="David" w:hint="cs"/>
          <w:color w:val="000000"/>
          <w:rtl/>
        </w:rPr>
        <w:t xml:space="preserve"> בפועל</w:t>
      </w:r>
      <w:r w:rsidR="00EA6075">
        <w:rPr>
          <w:rFonts w:cs="David" w:hint="cs"/>
          <w:color w:val="000000"/>
          <w:rtl/>
        </w:rPr>
        <w:t xml:space="preserve"> גם ממוצע החזר ההוצאות לנשים תמיד נמוך במאות שקלים מן ההחזר הניתן לגברים</w:t>
      </w:r>
      <w:r w:rsidR="00EA6075">
        <w:rPr>
          <w:rStyle w:val="a4"/>
          <w:rFonts w:cs="David"/>
          <w:color w:val="000000"/>
          <w:rtl/>
        </w:rPr>
        <w:footnoteReference w:id="40"/>
      </w:r>
      <w:r w:rsidR="00F67AEE">
        <w:rPr>
          <w:rFonts w:cs="David" w:hint="cs"/>
          <w:color w:val="000000"/>
          <w:rtl/>
        </w:rPr>
        <w:t xml:space="preserve">. כך, למשל, ניתן לראות בנספח ד בטבלה </w:t>
      </w:r>
      <w:r w:rsidR="00F67AEE">
        <w:rPr>
          <w:rFonts w:cs="David" w:hint="cs"/>
          <w:color w:val="000000"/>
        </w:rPr>
        <w:t>A</w:t>
      </w:r>
      <w:r w:rsidR="00F67AEE">
        <w:rPr>
          <w:rFonts w:cs="David" w:hint="cs"/>
          <w:color w:val="000000"/>
          <w:rtl/>
        </w:rPr>
        <w:t xml:space="preserve"> כי בקרב כלל עובדי המדינה ממוצע החזר ההוצאות של גברים גבוה בכ-280 ₪ מן ההחזר שמקבלות הנשים</w:t>
      </w:r>
      <w:r w:rsidR="00EA6075">
        <w:rPr>
          <w:rFonts w:cs="David" w:hint="cs"/>
          <w:color w:val="000000"/>
          <w:rtl/>
        </w:rPr>
        <w:t>.</w:t>
      </w:r>
      <w:r w:rsidR="00F67AEE">
        <w:rPr>
          <w:rFonts w:cs="David" w:hint="cs"/>
          <w:color w:val="000000"/>
          <w:rtl/>
        </w:rPr>
        <w:t xml:space="preserve"> </w:t>
      </w:r>
      <w:r w:rsidR="00EA6075">
        <w:rPr>
          <w:rFonts w:cs="David" w:hint="cs"/>
          <w:color w:val="000000"/>
          <w:rtl/>
        </w:rPr>
        <w:t xml:space="preserve"> </w:t>
      </w:r>
    </w:p>
    <w:p w:rsidR="008C5CF0" w:rsidRPr="00BC1586" w:rsidRDefault="008C5CF0" w:rsidP="008C5CF0">
      <w:pPr>
        <w:pStyle w:val="NormalWeb"/>
        <w:bidi/>
        <w:spacing w:line="480" w:lineRule="auto"/>
        <w:jc w:val="both"/>
        <w:rPr>
          <w:rFonts w:cs="David" w:hint="cs"/>
          <w:color w:val="000000"/>
          <w:rtl/>
        </w:rPr>
      </w:pPr>
    </w:p>
    <w:p w:rsidR="00B655C8" w:rsidRPr="00BC1586" w:rsidRDefault="00B655C8" w:rsidP="00612E3D">
      <w:pPr>
        <w:pStyle w:val="2"/>
        <w:rPr>
          <w:rFonts w:hint="cs"/>
          <w:rtl/>
        </w:rPr>
      </w:pPr>
      <w:bookmarkStart w:id="26" w:name="_Toc144716278"/>
      <w:r w:rsidRPr="00BC1586">
        <w:rPr>
          <w:rFonts w:hint="cs"/>
          <w:rtl/>
        </w:rPr>
        <w:t>חריגים</w:t>
      </w:r>
      <w:bookmarkEnd w:id="26"/>
    </w:p>
    <w:p w:rsidR="00B655C8" w:rsidRPr="00BC1586" w:rsidRDefault="00B655C8" w:rsidP="008E6F7C">
      <w:pPr>
        <w:spacing w:line="480" w:lineRule="auto"/>
        <w:jc w:val="both"/>
        <w:rPr>
          <w:rFonts w:hint="cs"/>
          <w:rtl/>
        </w:rPr>
      </w:pPr>
      <w:r w:rsidRPr="00BC1586">
        <w:rPr>
          <w:rtl/>
        </w:rPr>
        <w:t xml:space="preserve">לא כל פער בשכר הינו תוצאה של אפליה. לעתים יש לפערים הללו </w:t>
      </w:r>
      <w:r w:rsidRPr="00CB7994">
        <w:rPr>
          <w:b/>
          <w:bCs/>
          <w:rtl/>
        </w:rPr>
        <w:t>צידוק ענייני</w:t>
      </w:r>
      <w:r w:rsidRPr="00BC1586">
        <w:rPr>
          <w:rtl/>
        </w:rPr>
        <w:t xml:space="preserve"> הנובע מקיומו של שוני אובייקטיבי המאפיין את עבודתם של העובדים השונים. הפער בשכר יכול לנבוע, למשל, משוני בתוכן התפקיד, מכוחות השוק, מהתרומה שמניב המעביד מהעבודה המבוצעת, מנסיבותיו האישיות של העובד מבחינת הוותק והנסיון או בעקבות מצבו המשפחתי וכדומה. ואולם, לעתים קרובות, הפער בשכר הוא תוצאה של חולשתם של בני קבוצות מעמד שונות באוכלוסיה,</w:t>
      </w:r>
      <w:r w:rsidR="00396613">
        <w:rPr>
          <w:rFonts w:hint="cs"/>
          <w:rtl/>
        </w:rPr>
        <w:t xml:space="preserve"> כגון נשים ונכים,</w:t>
      </w:r>
      <w:r w:rsidRPr="00BC1586">
        <w:rPr>
          <w:rtl/>
        </w:rPr>
        <w:t xml:space="preserve"> המנוצלים בצורה מפלה בידי המעביד. מכאן, שיש צורך לבחון</w:t>
      </w:r>
      <w:r>
        <w:rPr>
          <w:rFonts w:hint="cs"/>
          <w:rtl/>
        </w:rPr>
        <w:t xml:space="preserve"> בכל מקרה מהן</w:t>
      </w:r>
      <w:r w:rsidRPr="00BC1586">
        <w:rPr>
          <w:rtl/>
        </w:rPr>
        <w:t xml:space="preserve"> הסיבות שגרמו ליצירת פערי השכר</w:t>
      </w:r>
      <w:r>
        <w:rPr>
          <w:rFonts w:hint="cs"/>
          <w:rtl/>
        </w:rPr>
        <w:t>,</w:t>
      </w:r>
      <w:r w:rsidRPr="00BC1586">
        <w:rPr>
          <w:rtl/>
        </w:rPr>
        <w:t xml:space="preserve"> כדי לוודא מהם הפערים הנובעים משוני אובייקטיבי, שמכוחו מוצדק לשלם שכר שונה, ומהם הפערים שאינם מוסברים ע"י שום יסוד סביר אחר, ומכאן שיש לייחסם לאפליה. </w:t>
      </w:r>
    </w:p>
    <w:p w:rsidR="00B655C8" w:rsidRPr="00BC1586" w:rsidRDefault="00B655C8" w:rsidP="008E6F7C">
      <w:pPr>
        <w:pStyle w:val="NormalWeb"/>
        <w:bidi/>
        <w:spacing w:line="480" w:lineRule="auto"/>
        <w:jc w:val="both"/>
        <w:rPr>
          <w:rFonts w:cs="David" w:hint="cs"/>
          <w:color w:val="000000"/>
          <w:rtl/>
        </w:rPr>
      </w:pPr>
      <w:r w:rsidRPr="00BC1586">
        <w:rPr>
          <w:rFonts w:cs="David" w:hint="cs"/>
          <w:color w:val="000000"/>
          <w:rtl/>
        </w:rPr>
        <w:t xml:space="preserve">סעיף 6(א) לחוק שכר שווה לעובדת ולעובד, קובע את מסגרת החריגים שמכוחם אפשר לשלם שכר </w:t>
      </w:r>
      <w:r w:rsidRPr="00BD7E8E">
        <w:rPr>
          <w:rFonts w:cs="David" w:hint="cs"/>
          <w:b/>
          <w:bCs/>
          <w:color w:val="000000"/>
          <w:rtl/>
        </w:rPr>
        <w:t>שונה</w:t>
      </w:r>
      <w:r w:rsidRPr="00BC1586">
        <w:rPr>
          <w:rFonts w:cs="David" w:hint="cs"/>
          <w:color w:val="000000"/>
          <w:rtl/>
        </w:rPr>
        <w:t xml:space="preserve"> לעובדת ולעובד:</w:t>
      </w:r>
    </w:p>
    <w:p w:rsidR="00B655C8" w:rsidRPr="006B428D" w:rsidRDefault="00B655C8" w:rsidP="008E6F7C">
      <w:pPr>
        <w:pStyle w:val="NormalWeb"/>
        <w:bidi/>
        <w:spacing w:line="480" w:lineRule="auto"/>
        <w:ind w:left="720"/>
        <w:jc w:val="both"/>
        <w:rPr>
          <w:rFonts w:cs="David"/>
          <w:i/>
          <w:iCs/>
          <w:color w:val="000000"/>
          <w:rtl/>
        </w:rPr>
      </w:pPr>
      <w:r w:rsidRPr="006B428D">
        <w:rPr>
          <w:rFonts w:cs="David" w:hint="cs"/>
          <w:i/>
          <w:iCs/>
          <w:color w:val="000000"/>
          <w:rtl/>
        </w:rPr>
        <w:t xml:space="preserve">6. </w:t>
      </w:r>
      <w:r w:rsidRPr="006B428D">
        <w:rPr>
          <w:rFonts w:cs="David"/>
          <w:i/>
          <w:iCs/>
          <w:color w:val="000000"/>
          <w:rtl/>
        </w:rPr>
        <w:t>הפרש בשכר</w:t>
      </w:r>
    </w:p>
    <w:p w:rsidR="00B655C8" w:rsidRPr="006B428D" w:rsidRDefault="00B655C8" w:rsidP="008E6F7C">
      <w:pPr>
        <w:pStyle w:val="NormalWeb"/>
        <w:bidi/>
        <w:spacing w:line="480" w:lineRule="auto"/>
        <w:ind w:left="720"/>
        <w:jc w:val="both"/>
        <w:rPr>
          <w:rFonts w:cs="David" w:hint="cs"/>
          <w:i/>
          <w:iCs/>
          <w:color w:val="000000"/>
          <w:rtl/>
        </w:rPr>
      </w:pPr>
      <w:r w:rsidRPr="006B428D">
        <w:rPr>
          <w:rFonts w:cs="David"/>
          <w:i/>
          <w:iCs/>
          <w:color w:val="000000"/>
        </w:rPr>
        <w:t>)</w:t>
      </w:r>
      <w:r w:rsidRPr="006B428D">
        <w:rPr>
          <w:rFonts w:cs="David"/>
          <w:i/>
          <w:iCs/>
          <w:color w:val="000000"/>
          <w:rtl/>
        </w:rPr>
        <w:t xml:space="preserve">א) אין בהוראות סעיף 2 כדי למנוע הפרש בשכר או בגמול אחר המתחייב מאופיה או ממהותה של העבודה הנדונה ובכלל זה תפוקת העבודה, איכות העבודה, הוותק בעבודה, </w:t>
      </w:r>
      <w:r w:rsidRPr="006B428D">
        <w:rPr>
          <w:rFonts w:cs="David"/>
          <w:i/>
          <w:iCs/>
          <w:color w:val="000000"/>
          <w:rtl/>
        </w:rPr>
        <w:lastRenderedPageBreak/>
        <w:t>ההכשרה או ההשכלה, או מיקומו הגיאוגרפי של מקום העבודה, והכל כשאין בכך משום אפליה מטעמי מין</w:t>
      </w:r>
      <w:r w:rsidRPr="006B428D">
        <w:rPr>
          <w:rFonts w:cs="David"/>
          <w:i/>
          <w:iCs/>
          <w:color w:val="000000"/>
        </w:rPr>
        <w:t xml:space="preserve">. </w:t>
      </w:r>
    </w:p>
    <w:p w:rsidR="00B655C8" w:rsidRPr="00BC1586" w:rsidRDefault="00B655C8" w:rsidP="008E6F7C">
      <w:pPr>
        <w:pStyle w:val="NormalWeb"/>
        <w:bidi/>
        <w:spacing w:line="480" w:lineRule="auto"/>
        <w:jc w:val="both"/>
        <w:rPr>
          <w:rFonts w:cs="David" w:hint="cs"/>
          <w:color w:val="000000"/>
          <w:rtl/>
        </w:rPr>
      </w:pPr>
      <w:r w:rsidRPr="00BC1586">
        <w:rPr>
          <w:rFonts w:cs="David" w:hint="cs"/>
          <w:color w:val="000000"/>
          <w:rtl/>
        </w:rPr>
        <w:t>סעיף זה קובע למעשה שני תנאים מצטברים שקיומם נדרש על-מנת שניתן יהיה להכשיר תשלום שכר שונה לעובדת ולעובד: תנאי חיובי, המתייחס לסיבה המהותית המצדיקה תשלום שכר שונה, ותנאי שלילי, המחייב שהשוני בשכר לא יהיה תוצאה של אפליה מטעם מין.</w:t>
      </w:r>
    </w:p>
    <w:p w:rsidR="00B655C8" w:rsidRPr="00BC1586" w:rsidRDefault="00B655C8" w:rsidP="008E6F7C">
      <w:pPr>
        <w:pStyle w:val="NormalWeb"/>
        <w:bidi/>
        <w:spacing w:line="480" w:lineRule="auto"/>
        <w:jc w:val="both"/>
        <w:rPr>
          <w:rFonts w:cs="David" w:hint="cs"/>
          <w:color w:val="000000"/>
          <w:rtl/>
        </w:rPr>
      </w:pPr>
      <w:r w:rsidRPr="00BC1586">
        <w:rPr>
          <w:rFonts w:cs="David" w:hint="cs"/>
          <w:color w:val="000000"/>
          <w:rtl/>
        </w:rPr>
        <w:t>סעיף 6(ב) קובע כי נטל ההוכחה שמתקיימת אחת מעילות הצידוק המוזכרות בסעיף 6(א) מוטל על המעביד.</w:t>
      </w:r>
    </w:p>
    <w:p w:rsidR="00B655C8" w:rsidRDefault="00B655C8" w:rsidP="008E6F7C">
      <w:pPr>
        <w:pStyle w:val="NormalWeb"/>
        <w:bidi/>
        <w:spacing w:line="480" w:lineRule="auto"/>
        <w:jc w:val="both"/>
        <w:rPr>
          <w:rFonts w:cs="David" w:hint="cs"/>
          <w:color w:val="000000"/>
          <w:rtl/>
        </w:rPr>
      </w:pPr>
      <w:r>
        <w:rPr>
          <w:rFonts w:cs="David" w:hint="cs"/>
          <w:color w:val="000000"/>
          <w:rtl/>
        </w:rPr>
        <w:t xml:space="preserve">לפיכך, בענייננו יוכל לטעון המעביד לקיומה של סיבה מהותית המצדיקה תשלום גמול שונה לנשים ולגברים </w:t>
      </w:r>
      <w:r>
        <w:rPr>
          <w:rFonts w:cs="David"/>
          <w:color w:val="000000"/>
          <w:rtl/>
        </w:rPr>
        <w:t>–</w:t>
      </w:r>
      <w:r>
        <w:rPr>
          <w:rFonts w:cs="David" w:hint="cs"/>
          <w:color w:val="000000"/>
          <w:rtl/>
        </w:rPr>
        <w:t xml:space="preserve"> למשל יטען כי הגמול השונה מתחייב מאופיה/מהותה של העבודה הנדונה, שכן חלק מן העבודה הן הנסיעות עליהן משתלם הגמול. בנוסף לכך, יוכל לטעון המעביד כי אין בכך משום אפליה מטעם מין, </w:t>
      </w:r>
      <w:r w:rsidRPr="00BC1586">
        <w:rPr>
          <w:rFonts w:cs="David" w:hint="cs"/>
          <w:color w:val="000000"/>
          <w:rtl/>
        </w:rPr>
        <w:t>שכן הקריטריונים הקובעים</w:t>
      </w:r>
      <w:r>
        <w:rPr>
          <w:rFonts w:cs="David" w:hint="cs"/>
          <w:color w:val="000000"/>
          <w:rtl/>
        </w:rPr>
        <w:t xml:space="preserve"> את קבלת הגמול</w:t>
      </w:r>
      <w:r w:rsidRPr="00BC1586">
        <w:rPr>
          <w:rFonts w:cs="David" w:hint="cs"/>
          <w:color w:val="000000"/>
          <w:rtl/>
        </w:rPr>
        <w:t xml:space="preserve"> אינם מתייחסים להיות בעל רשיון הרכב גבר או אשה.</w:t>
      </w:r>
      <w:r>
        <w:rPr>
          <w:rFonts w:cs="David" w:hint="cs"/>
          <w:color w:val="000000"/>
          <w:rtl/>
        </w:rPr>
        <w:t xml:space="preserve"> </w:t>
      </w:r>
    </w:p>
    <w:p w:rsidR="00B655C8" w:rsidRDefault="00B655C8" w:rsidP="009C759D">
      <w:pPr>
        <w:pStyle w:val="NormalWeb"/>
        <w:bidi/>
        <w:spacing w:line="480" w:lineRule="auto"/>
        <w:jc w:val="both"/>
        <w:rPr>
          <w:rFonts w:cs="David" w:hint="cs"/>
          <w:color w:val="000000"/>
          <w:rtl/>
        </w:rPr>
      </w:pPr>
      <w:r>
        <w:rPr>
          <w:rFonts w:cs="David" w:hint="cs"/>
          <w:color w:val="000000"/>
          <w:rtl/>
        </w:rPr>
        <w:t>נציין כי בכל הקשור לתנאי השלילי, הפסיקה לא קבעה אם הקביעה שהשוני בשכר אסור שיהא מסיבה של אפליה מטעם מין חל רק לגבי אפליה ישירה או שחל גם לגבי אפליה עקיפה. הטענה מן הסוג המובא לעיל בשם המעביד, למעשה טומנת בחובה את ההנחה כי אסורה רק אפליה ישירה, שכן גם המעביד יכיר בכך שבפועל קיימת אפליה עקיפה בשל פער בין הגברים לנשים ביכולתם לענות על התנאי המאפשר קבלת הגמול</w:t>
      </w:r>
      <w:r w:rsidR="00B631AD">
        <w:rPr>
          <w:rFonts w:cs="David" w:hint="cs"/>
          <w:color w:val="000000"/>
          <w:rtl/>
        </w:rPr>
        <w:t xml:space="preserve">. </w:t>
      </w:r>
      <w:r w:rsidR="00B631AD" w:rsidRPr="00B631AD">
        <w:rPr>
          <w:rFonts w:cs="David" w:hint="cs"/>
          <w:rtl/>
        </w:rPr>
        <w:t>כ</w:t>
      </w:r>
      <w:r w:rsidR="00C101CF">
        <w:rPr>
          <w:rFonts w:cs="David" w:hint="cs"/>
          <w:rtl/>
        </w:rPr>
        <w:t>פי שכבר נטען במהלך</w:t>
      </w:r>
      <w:r w:rsidR="00B631AD" w:rsidRPr="00B631AD">
        <w:rPr>
          <w:rFonts w:cs="David" w:hint="cs"/>
          <w:rtl/>
        </w:rPr>
        <w:t xml:space="preserve"> המסמך,</w:t>
      </w:r>
      <w:r w:rsidR="00C101CF">
        <w:rPr>
          <w:rFonts w:cs="David" w:hint="cs"/>
          <w:rtl/>
        </w:rPr>
        <w:t xml:space="preserve"> לאור נספח ג,</w:t>
      </w:r>
      <w:r w:rsidR="00B631AD" w:rsidRPr="00B631AD">
        <w:rPr>
          <w:rFonts w:cs="David" w:hint="cs"/>
          <w:rtl/>
        </w:rPr>
        <w:t xml:space="preserve"> נתונים מוכיחים פער משמעותי בין מספר הנשים בעלות רשיון נהיגה למספר הגברים.</w:t>
      </w:r>
      <w:r w:rsidR="00C101CF">
        <w:rPr>
          <w:rFonts w:cs="David" w:hint="cs"/>
          <w:rtl/>
        </w:rPr>
        <w:t xml:space="preserve"> לעתים הפער מגיע לכדי הבדל של עשרות אלפי אנשים</w:t>
      </w:r>
      <w:r w:rsidR="009C759D">
        <w:rPr>
          <w:rFonts w:cs="David" w:hint="cs"/>
          <w:rtl/>
        </w:rPr>
        <w:t xml:space="preserve"> (למשל בשנת 1991, וראו נספח ג)</w:t>
      </w:r>
      <w:r w:rsidR="00C101CF">
        <w:rPr>
          <w:rFonts w:cs="David" w:hint="cs"/>
          <w:rtl/>
        </w:rPr>
        <w:t>.</w:t>
      </w:r>
      <w:r w:rsidR="00B631AD" w:rsidRPr="00B631AD">
        <w:rPr>
          <w:rFonts w:cs="David" w:hint="cs"/>
          <w:rtl/>
        </w:rPr>
        <w:t xml:space="preserve"> נתון זה משפיע באופן ישיר על זכאות העובד לקבלת הגמול </w:t>
      </w:r>
      <w:r w:rsidR="00B631AD" w:rsidRPr="00B631AD">
        <w:rPr>
          <w:rFonts w:cs="David"/>
          <w:rtl/>
        </w:rPr>
        <w:t>–</w:t>
      </w:r>
      <w:r w:rsidR="00B631AD" w:rsidRPr="00B631AD">
        <w:rPr>
          <w:rFonts w:cs="David" w:hint="cs"/>
          <w:rtl/>
        </w:rPr>
        <w:t xml:space="preserve"> החזר הוצאות הרכב.</w:t>
      </w:r>
      <w:r w:rsidR="00C101CF">
        <w:rPr>
          <w:rFonts w:cs="David" w:hint="cs"/>
          <w:color w:val="000000"/>
          <w:rtl/>
        </w:rPr>
        <w:t xml:space="preserve"> טענת המעביד</w:t>
      </w:r>
      <w:r w:rsidRPr="00B631AD">
        <w:rPr>
          <w:rFonts w:cs="David" w:hint="cs"/>
          <w:color w:val="000000"/>
          <w:rtl/>
        </w:rPr>
        <w:t xml:space="preserve"> יכולה לקבל חיז</w:t>
      </w:r>
      <w:r>
        <w:rPr>
          <w:rFonts w:cs="David" w:hint="cs"/>
          <w:color w:val="000000"/>
          <w:rtl/>
        </w:rPr>
        <w:t>וק מעיון במשפט משווה בפסיקה האנגלית</w:t>
      </w:r>
      <w:r>
        <w:rPr>
          <w:rStyle w:val="a4"/>
          <w:rFonts w:cs="David"/>
          <w:color w:val="000000"/>
          <w:rtl/>
        </w:rPr>
        <w:footnoteReference w:id="41"/>
      </w:r>
      <w:r>
        <w:rPr>
          <w:rFonts w:cs="David" w:hint="cs"/>
          <w:color w:val="000000"/>
          <w:rtl/>
        </w:rPr>
        <w:t>.</w:t>
      </w:r>
    </w:p>
    <w:p w:rsidR="00B655C8" w:rsidRDefault="00B655C8" w:rsidP="008E6F7C">
      <w:pPr>
        <w:pStyle w:val="NormalWeb"/>
        <w:bidi/>
        <w:spacing w:line="480" w:lineRule="auto"/>
        <w:jc w:val="both"/>
        <w:rPr>
          <w:rFonts w:cs="David" w:hint="cs"/>
          <w:color w:val="000000"/>
          <w:rtl/>
        </w:rPr>
      </w:pPr>
      <w:r>
        <w:rPr>
          <w:rFonts w:cs="David" w:hint="cs"/>
          <w:color w:val="000000"/>
          <w:rtl/>
        </w:rPr>
        <w:t xml:space="preserve">אולם, לטענתנו יש לפרש את סעיף 6 דלעיל גם כאוסר אפליה עקיפה, שכן פרשנות זו מתיישבת עם מטרת החוק המוזכרת בסעיף 1. חוק זה נועד, כאמור, לא רק למנוע אפליה בין המינים, על דרך </w:t>
      </w:r>
      <w:r>
        <w:rPr>
          <w:rFonts w:cs="David" w:hint="cs"/>
          <w:color w:val="000000"/>
          <w:rtl/>
        </w:rPr>
        <w:lastRenderedPageBreak/>
        <w:t>השלילה, אלא על דרך החיוב מנוסחת מטרתו לקדם את השוויון. לדעתנו דבר זה מצביע על רצון לקדם ולהרחיב את השוויון בין המינים, ובתוך כך לאסור גם אפליה עקיפה.</w:t>
      </w:r>
      <w:r w:rsidRPr="00BC1586">
        <w:rPr>
          <w:rFonts w:cs="David" w:hint="cs"/>
          <w:color w:val="000000"/>
          <w:rtl/>
        </w:rPr>
        <w:t xml:space="preserve">  </w:t>
      </w:r>
    </w:p>
    <w:p w:rsidR="00B655C8" w:rsidRDefault="00B655C8" w:rsidP="008E6F7C">
      <w:pPr>
        <w:spacing w:line="480" w:lineRule="auto"/>
        <w:jc w:val="both"/>
        <w:rPr>
          <w:rFonts w:hint="cs"/>
          <w:rtl/>
        </w:rPr>
      </w:pPr>
    </w:p>
    <w:p w:rsidR="00711961" w:rsidRDefault="00711961" w:rsidP="004F021C">
      <w:pPr>
        <w:spacing w:line="480" w:lineRule="auto"/>
        <w:jc w:val="both"/>
        <w:rPr>
          <w:rFonts w:hint="cs"/>
          <w:rtl/>
        </w:rPr>
      </w:pPr>
      <w:r>
        <w:rPr>
          <w:rFonts w:hint="cs"/>
          <w:rtl/>
        </w:rPr>
        <w:t>ב</w:t>
      </w:r>
      <w:r w:rsidR="004F021C">
        <w:rPr>
          <w:rFonts w:hint="cs"/>
          <w:rtl/>
        </w:rPr>
        <w:t>דומה</w:t>
      </w:r>
      <w:r>
        <w:rPr>
          <w:rFonts w:hint="cs"/>
          <w:rtl/>
        </w:rPr>
        <w:t xml:space="preserve"> לחוק שכר שווה לעובדת ולעובד,</w:t>
      </w:r>
      <w:r w:rsidR="004F021C">
        <w:rPr>
          <w:rFonts w:hint="cs"/>
          <w:rtl/>
        </w:rPr>
        <w:t xml:space="preserve"> אשר הציב לו למטרה לקדם את שוויון הנשים,</w:t>
      </w:r>
      <w:r>
        <w:rPr>
          <w:rFonts w:hint="cs"/>
          <w:rtl/>
        </w:rPr>
        <w:t xml:space="preserve"> חוקק בשנת 1988 חוק שמטרתו לקדם שיווי זכויות לנכים: חוק שוויון זכויות לאנשים עם מוגבלויות, תשנ"ח-1988</w:t>
      </w:r>
      <w:r>
        <w:rPr>
          <w:rStyle w:val="a4"/>
          <w:rtl/>
        </w:rPr>
        <w:footnoteReference w:id="42"/>
      </w:r>
      <w:r>
        <w:rPr>
          <w:rFonts w:hint="cs"/>
          <w:rtl/>
        </w:rPr>
        <w:t>.</w:t>
      </w:r>
    </w:p>
    <w:p w:rsidR="004F021C" w:rsidRDefault="004F021C" w:rsidP="008E6F7C">
      <w:pPr>
        <w:spacing w:line="480" w:lineRule="auto"/>
        <w:jc w:val="both"/>
        <w:rPr>
          <w:rFonts w:hint="cs"/>
          <w:rtl/>
        </w:rPr>
      </w:pPr>
      <w:r>
        <w:rPr>
          <w:rFonts w:hint="cs"/>
          <w:rtl/>
        </w:rPr>
        <w:t>סעיף 1 לחוק קובע עקרון יסוד:</w:t>
      </w:r>
    </w:p>
    <w:p w:rsidR="004F021C" w:rsidRPr="006B428D" w:rsidRDefault="004F021C" w:rsidP="004F021C">
      <w:pPr>
        <w:spacing w:line="480" w:lineRule="auto"/>
        <w:ind w:left="720"/>
        <w:jc w:val="both"/>
        <w:rPr>
          <w:i/>
          <w:iCs/>
          <w:rtl/>
        </w:rPr>
      </w:pPr>
      <w:r w:rsidRPr="006B428D">
        <w:rPr>
          <w:rFonts w:hint="cs"/>
          <w:i/>
          <w:iCs/>
          <w:rtl/>
        </w:rPr>
        <w:t>"</w:t>
      </w:r>
      <w:r w:rsidRPr="006B428D">
        <w:rPr>
          <w:i/>
          <w:iCs/>
          <w:rtl/>
        </w:rPr>
        <w:t>זכויותיהם של אנשים עם מוגבלות ומחויבותה של החברה בישראל לזכויות אלה, מושתתות על ההכרה בעקרון השוויון, על ההכרה בערך האדם שנברא בצלם ועל עקרון כבוד הבריות</w:t>
      </w:r>
      <w:r w:rsidRPr="006B428D">
        <w:rPr>
          <w:rFonts w:hint="cs"/>
          <w:i/>
          <w:iCs/>
          <w:rtl/>
        </w:rPr>
        <w:t>"</w:t>
      </w:r>
      <w:r w:rsidRPr="006B428D">
        <w:rPr>
          <w:i/>
          <w:iCs/>
          <w:rtl/>
        </w:rPr>
        <w:t xml:space="preserve">. </w:t>
      </w:r>
    </w:p>
    <w:p w:rsidR="0002554B" w:rsidRDefault="0002554B" w:rsidP="0002554B">
      <w:pPr>
        <w:spacing w:line="480" w:lineRule="auto"/>
        <w:jc w:val="both"/>
        <w:rPr>
          <w:rtl/>
        </w:rPr>
      </w:pPr>
    </w:p>
    <w:p w:rsidR="0002554B" w:rsidRPr="00457365" w:rsidRDefault="0002554B" w:rsidP="0002554B">
      <w:pPr>
        <w:spacing w:line="480" w:lineRule="auto"/>
        <w:jc w:val="both"/>
        <w:rPr>
          <w:rFonts w:hint="cs"/>
          <w:i/>
          <w:iCs/>
          <w:rtl/>
        </w:rPr>
      </w:pPr>
      <w:r>
        <w:rPr>
          <w:rFonts w:hint="cs"/>
          <w:rtl/>
        </w:rPr>
        <w:t xml:space="preserve">בחוק זה נקבעה הזכות לשכר שווה בסעיף 8: </w:t>
      </w:r>
    </w:p>
    <w:p w:rsidR="0002554B" w:rsidRPr="00457365" w:rsidRDefault="0002554B" w:rsidP="0002554B">
      <w:pPr>
        <w:spacing w:line="480" w:lineRule="auto"/>
        <w:ind w:left="720"/>
        <w:jc w:val="both"/>
        <w:rPr>
          <w:i/>
          <w:iCs/>
          <w:rtl/>
        </w:rPr>
      </w:pPr>
      <w:r w:rsidRPr="00457365">
        <w:rPr>
          <w:i/>
          <w:iCs/>
          <w:rtl/>
        </w:rPr>
        <w:t>8. איסור הפליה בתעסוקה</w:t>
      </w:r>
    </w:p>
    <w:p w:rsidR="0002554B" w:rsidRPr="00457365" w:rsidRDefault="0002554B" w:rsidP="0002554B">
      <w:pPr>
        <w:spacing w:line="480" w:lineRule="auto"/>
        <w:ind w:left="720"/>
        <w:jc w:val="both"/>
        <w:rPr>
          <w:i/>
          <w:iCs/>
          <w:rtl/>
        </w:rPr>
      </w:pPr>
      <w:r w:rsidRPr="00457365">
        <w:rPr>
          <w:i/>
          <w:iCs/>
          <w:rtl/>
        </w:rPr>
        <w:t>(א) לא יפלה מעביד בין עובדיו או בין דורשי עבודה, מחמת מוגבלותם, ובלבד שהם כשירים לתפקיד או למשרה הנדונים, בכל אחד מאלה:</w:t>
      </w:r>
    </w:p>
    <w:p w:rsidR="0002554B" w:rsidRPr="00457365" w:rsidRDefault="0002554B" w:rsidP="0002554B">
      <w:pPr>
        <w:spacing w:line="480" w:lineRule="auto"/>
        <w:ind w:left="720" w:firstLine="720"/>
        <w:jc w:val="both"/>
        <w:rPr>
          <w:i/>
          <w:iCs/>
          <w:rtl/>
        </w:rPr>
      </w:pPr>
      <w:r w:rsidRPr="00457365">
        <w:rPr>
          <w:i/>
          <w:iCs/>
          <w:rtl/>
        </w:rPr>
        <w:t xml:space="preserve"> </w:t>
      </w:r>
      <w:r w:rsidR="00457365" w:rsidRPr="00457365">
        <w:rPr>
          <w:rFonts w:hint="cs"/>
          <w:i/>
          <w:iCs/>
          <w:rtl/>
        </w:rPr>
        <w:t>...</w:t>
      </w:r>
      <w:r w:rsidRPr="00457365">
        <w:rPr>
          <w:i/>
          <w:iCs/>
          <w:rtl/>
        </w:rPr>
        <w:t>(2) תנאי עבודה;</w:t>
      </w:r>
    </w:p>
    <w:p w:rsidR="00A830CC" w:rsidRDefault="0002554B" w:rsidP="00A830CC">
      <w:pPr>
        <w:spacing w:line="480" w:lineRule="auto"/>
        <w:jc w:val="both"/>
        <w:rPr>
          <w:rFonts w:hint="cs"/>
          <w:rtl/>
        </w:rPr>
      </w:pPr>
      <w:r>
        <w:rPr>
          <w:rFonts w:hint="cs"/>
          <w:rtl/>
        </w:rPr>
        <w:t>תנאי עבודה, כאמור לעיל, כוללים תשלום שכר והחזרי הוצאות.</w:t>
      </w:r>
    </w:p>
    <w:p w:rsidR="00A830CC" w:rsidRPr="00A830CC" w:rsidRDefault="00A830CC" w:rsidP="00A830CC">
      <w:pPr>
        <w:spacing w:line="480" w:lineRule="auto"/>
        <w:jc w:val="both"/>
        <w:rPr>
          <w:rFonts w:hint="cs"/>
          <w:rtl/>
        </w:rPr>
      </w:pPr>
      <w:r>
        <w:rPr>
          <w:rFonts w:hint="cs"/>
          <w:rtl/>
        </w:rPr>
        <w:t xml:space="preserve">אולם, סעיף 8(ג) </w:t>
      </w:r>
      <w:r w:rsidRPr="00BC1586">
        <w:rPr>
          <w:rFonts w:hint="cs"/>
          <w:color w:val="000000"/>
          <w:rtl/>
        </w:rPr>
        <w:t>קובע את החריג שמכוח</w:t>
      </w:r>
      <w:r>
        <w:rPr>
          <w:rFonts w:hint="cs"/>
          <w:color w:val="000000"/>
          <w:rtl/>
        </w:rPr>
        <w:t>ו</w:t>
      </w:r>
      <w:r w:rsidRPr="00BC1586">
        <w:rPr>
          <w:rFonts w:hint="cs"/>
          <w:color w:val="000000"/>
          <w:rtl/>
        </w:rPr>
        <w:t xml:space="preserve"> אפשר לשלם שכר </w:t>
      </w:r>
      <w:r w:rsidRPr="00BD7E8E">
        <w:rPr>
          <w:rFonts w:hint="cs"/>
          <w:b/>
          <w:bCs/>
          <w:color w:val="000000"/>
          <w:rtl/>
        </w:rPr>
        <w:t>שונה</w:t>
      </w:r>
      <w:r w:rsidRPr="00BC1586">
        <w:rPr>
          <w:rFonts w:hint="cs"/>
          <w:color w:val="000000"/>
          <w:rtl/>
        </w:rPr>
        <w:t xml:space="preserve"> ל</w:t>
      </w:r>
      <w:r>
        <w:rPr>
          <w:rFonts w:hint="cs"/>
          <w:color w:val="000000"/>
          <w:rtl/>
        </w:rPr>
        <w:t>עובד עם מוגבלות</w:t>
      </w:r>
      <w:r w:rsidRPr="00BC1586">
        <w:rPr>
          <w:rFonts w:hint="cs"/>
          <w:color w:val="000000"/>
          <w:rtl/>
        </w:rPr>
        <w:t>:</w:t>
      </w:r>
    </w:p>
    <w:p w:rsidR="00A830CC" w:rsidRPr="00457365" w:rsidRDefault="00A830CC" w:rsidP="00A830CC">
      <w:pPr>
        <w:spacing w:line="480" w:lineRule="auto"/>
        <w:ind w:left="720"/>
        <w:jc w:val="both"/>
        <w:rPr>
          <w:i/>
          <w:iCs/>
          <w:rtl/>
        </w:rPr>
      </w:pPr>
      <w:r w:rsidRPr="00457365">
        <w:rPr>
          <w:i/>
          <w:iCs/>
          <w:rtl/>
        </w:rPr>
        <w:t xml:space="preserve">(ג) אין רואים כהפליה לפי סעיף זה, פעולה או הימנעות מפעולה, המתחייבת מהדרישות המהותיות של התפקיד או של המשרה. </w:t>
      </w:r>
    </w:p>
    <w:p w:rsidR="00A830CC" w:rsidRDefault="00A830CC" w:rsidP="00A830CC">
      <w:pPr>
        <w:pStyle w:val="NormalWeb"/>
        <w:bidi/>
        <w:spacing w:line="480" w:lineRule="auto"/>
        <w:jc w:val="both"/>
        <w:rPr>
          <w:rFonts w:cs="David" w:hint="cs"/>
          <w:color w:val="000000"/>
          <w:rtl/>
        </w:rPr>
      </w:pPr>
      <w:r>
        <w:rPr>
          <w:rFonts w:cs="David" w:hint="cs"/>
          <w:color w:val="000000"/>
          <w:rtl/>
        </w:rPr>
        <w:t>כפי שצויין לעיל, גם כאן יוכל לטעון המעביד לקיום דרישה מהותית של התפקיד, המצדיקה תשלום גמול שונה לעובדים עם מוגבלויות. כך למשל, יטען כי חלק מהותי מן העבודה הן הנסיעות עליהן מושבות ההוצאות.</w:t>
      </w:r>
    </w:p>
    <w:p w:rsidR="00AD3DDE" w:rsidRPr="00D07983" w:rsidRDefault="006E2F11" w:rsidP="00AD3DDE">
      <w:pPr>
        <w:pStyle w:val="2"/>
        <w:rPr>
          <w:rFonts w:hint="cs"/>
          <w:rtl/>
        </w:rPr>
      </w:pPr>
      <w:bookmarkStart w:id="27" w:name="_Toc144716279"/>
      <w:r>
        <w:rPr>
          <w:rFonts w:hint="cs"/>
          <w:rtl/>
        </w:rPr>
        <w:t>סיכום ביניים</w:t>
      </w:r>
      <w:bookmarkEnd w:id="27"/>
    </w:p>
    <w:p w:rsidR="00AD3DDE" w:rsidRDefault="006E724C" w:rsidP="00AD3DDE">
      <w:pPr>
        <w:spacing w:line="480" w:lineRule="auto"/>
        <w:jc w:val="both"/>
        <w:rPr>
          <w:rFonts w:ascii="Arial" w:hAnsi="Arial" w:hint="cs"/>
          <w:color w:val="000000"/>
          <w:rtl/>
        </w:rPr>
      </w:pPr>
      <w:r>
        <w:rPr>
          <w:rFonts w:ascii="Arial" w:hAnsi="Arial" w:hint="cs"/>
          <w:color w:val="000000"/>
          <w:rtl/>
        </w:rPr>
        <w:t xml:space="preserve">ראינו כי </w:t>
      </w:r>
      <w:r>
        <w:rPr>
          <w:rFonts w:ascii="Arial" w:hAnsi="Arial"/>
          <w:color w:val="000000"/>
          <w:rtl/>
        </w:rPr>
        <w:t>בישראל</w:t>
      </w:r>
      <w:r w:rsidR="00AD3DDE" w:rsidRPr="00D07983">
        <w:rPr>
          <w:rFonts w:ascii="Arial" w:hAnsi="Arial"/>
          <w:color w:val="000000"/>
          <w:rtl/>
        </w:rPr>
        <w:t xml:space="preserve"> הזכות לשוויון בעבודה משתקפת בהיררכיה המשפטית </w:t>
      </w:r>
      <w:r w:rsidR="00AD3DDE" w:rsidRPr="00D07983">
        <w:rPr>
          <w:rFonts w:ascii="Arial" w:hAnsi="Arial" w:hint="cs"/>
          <w:color w:val="000000"/>
          <w:rtl/>
        </w:rPr>
        <w:t>בשני אופנים מרכזיים</w:t>
      </w:r>
      <w:r w:rsidR="00AD3DDE">
        <w:rPr>
          <w:rFonts w:ascii="Arial" w:hAnsi="Arial" w:hint="cs"/>
          <w:color w:val="000000"/>
          <w:rtl/>
        </w:rPr>
        <w:t>:</w:t>
      </w:r>
    </w:p>
    <w:p w:rsidR="00AD3DDE" w:rsidRDefault="00AD3DDE" w:rsidP="00AD3DDE">
      <w:pPr>
        <w:spacing w:line="480" w:lineRule="auto"/>
        <w:jc w:val="both"/>
        <w:rPr>
          <w:rFonts w:ascii="Arial" w:hAnsi="Arial" w:hint="cs"/>
          <w:color w:val="000000"/>
          <w:rtl/>
        </w:rPr>
      </w:pPr>
      <w:r>
        <w:rPr>
          <w:rFonts w:ascii="Arial" w:hAnsi="Arial" w:hint="cs"/>
          <w:color w:val="000000"/>
          <w:rtl/>
        </w:rPr>
        <w:lastRenderedPageBreak/>
        <w:t xml:space="preserve">א. </w:t>
      </w:r>
      <w:r>
        <w:rPr>
          <w:rFonts w:ascii="Arial" w:hAnsi="Arial"/>
          <w:color w:val="000000"/>
          <w:rtl/>
        </w:rPr>
        <w:t>מעוגנת כזכות יסוד חוקתית על-חוק</w:t>
      </w:r>
      <w:r w:rsidRPr="00BC1586">
        <w:rPr>
          <w:rFonts w:ascii="Arial" w:hAnsi="Arial"/>
          <w:color w:val="000000"/>
          <w:rtl/>
        </w:rPr>
        <w:t>ית, הנ</w:t>
      </w:r>
      <w:r>
        <w:rPr>
          <w:rFonts w:ascii="Arial" w:hAnsi="Arial" w:hint="cs"/>
          <w:color w:val="000000"/>
          <w:rtl/>
        </w:rPr>
        <w:t>גזרת</w:t>
      </w:r>
      <w:r w:rsidRPr="00BC1586">
        <w:rPr>
          <w:rFonts w:ascii="Arial" w:hAnsi="Arial"/>
          <w:color w:val="000000"/>
          <w:rtl/>
        </w:rPr>
        <w:t xml:space="preserve"> </w:t>
      </w:r>
      <w:r>
        <w:rPr>
          <w:rFonts w:ascii="Arial" w:hAnsi="Arial" w:hint="cs"/>
          <w:color w:val="000000"/>
          <w:rtl/>
        </w:rPr>
        <w:t>מ</w:t>
      </w:r>
      <w:r w:rsidRPr="00BC1586">
        <w:rPr>
          <w:rFonts w:ascii="Arial" w:hAnsi="Arial"/>
          <w:color w:val="000000"/>
          <w:rtl/>
        </w:rPr>
        <w:t>חוק יסוד: כבוד האדם וחירותו וחוק יסוד: חופש העיסוק</w:t>
      </w:r>
      <w:r>
        <w:rPr>
          <w:rFonts w:ascii="Arial" w:hAnsi="Arial" w:hint="cs"/>
          <w:color w:val="000000"/>
          <w:rtl/>
        </w:rPr>
        <w:t xml:space="preserve">. </w:t>
      </w:r>
    </w:p>
    <w:p w:rsidR="00AD3DDE" w:rsidRDefault="00AD3DDE" w:rsidP="00AD3DDE">
      <w:pPr>
        <w:spacing w:line="480" w:lineRule="auto"/>
        <w:jc w:val="both"/>
        <w:rPr>
          <w:rFonts w:ascii="Arial" w:hAnsi="Arial" w:hint="cs"/>
          <w:color w:val="000000"/>
          <w:rtl/>
        </w:rPr>
      </w:pPr>
      <w:r>
        <w:rPr>
          <w:rFonts w:ascii="Arial" w:hAnsi="Arial" w:hint="cs"/>
          <w:color w:val="000000"/>
          <w:rtl/>
        </w:rPr>
        <w:t xml:space="preserve">ב. </w:t>
      </w:r>
      <w:r w:rsidRPr="00BC1586">
        <w:rPr>
          <w:rFonts w:ascii="Arial" w:hAnsi="Arial"/>
          <w:color w:val="000000"/>
          <w:rtl/>
        </w:rPr>
        <w:t xml:space="preserve">מעוגנת כזכות יסוד חוקית, כשזו מתגבשת בחקיקה רגילה של הכנסת. </w:t>
      </w:r>
      <w:r>
        <w:rPr>
          <w:rFonts w:ascii="Arial" w:hAnsi="Arial" w:hint="cs"/>
          <w:color w:val="000000"/>
          <w:rtl/>
        </w:rPr>
        <w:t>החוקים המרכזיים הינם:</w:t>
      </w:r>
      <w:r>
        <w:rPr>
          <w:rFonts w:ascii="Arial" w:hAnsi="Arial"/>
          <w:color w:val="000000"/>
          <w:rtl/>
        </w:rPr>
        <w:t xml:space="preserve"> </w:t>
      </w:r>
      <w:r w:rsidRPr="00BC1586">
        <w:rPr>
          <w:rFonts w:ascii="Arial" w:hAnsi="Arial"/>
          <w:color w:val="000000"/>
          <w:rtl/>
        </w:rPr>
        <w:t>חוק ש</w:t>
      </w:r>
      <w:r w:rsidRPr="00BC1586">
        <w:rPr>
          <w:rFonts w:ascii="Arial" w:hAnsi="Arial" w:hint="cs"/>
          <w:color w:val="000000"/>
          <w:rtl/>
        </w:rPr>
        <w:t>כר שווה לעובדת ולעובד</w:t>
      </w:r>
      <w:r>
        <w:rPr>
          <w:rFonts w:ascii="Arial" w:hAnsi="Arial" w:hint="cs"/>
          <w:color w:val="000000"/>
          <w:rtl/>
        </w:rPr>
        <w:t xml:space="preserve">, </w:t>
      </w:r>
      <w:r w:rsidRPr="00BC1586">
        <w:rPr>
          <w:rFonts w:ascii="Arial" w:hAnsi="Arial" w:hint="cs"/>
          <w:color w:val="000000"/>
          <w:rtl/>
        </w:rPr>
        <w:t>חוק שוויון ההזדמנויות בעבודה</w:t>
      </w:r>
      <w:r>
        <w:rPr>
          <w:rFonts w:ascii="Arial" w:hAnsi="Arial" w:hint="cs"/>
          <w:color w:val="000000"/>
          <w:rtl/>
        </w:rPr>
        <w:t>, וחוק שוויון זכויות לאנשים עם מוגבלויות. חוקים אלו אוסרים אפליה בקביעת תנאי העבודה, הכוללים שכר עבודה, ואף חלקם מציינים במפורש איסור אפליה בכל טובת הנאה או תשלום לכיסוי הוצאות הקשורים לעבודה.</w:t>
      </w:r>
    </w:p>
    <w:p w:rsidR="00AD3DDE" w:rsidRDefault="00AD3DDE" w:rsidP="00AD3DDE">
      <w:pPr>
        <w:spacing w:line="480" w:lineRule="auto"/>
        <w:jc w:val="both"/>
        <w:rPr>
          <w:rFonts w:ascii="Arial" w:hAnsi="Arial" w:hint="cs"/>
          <w:color w:val="000000"/>
          <w:rtl/>
        </w:rPr>
      </w:pPr>
      <w:r>
        <w:rPr>
          <w:rFonts w:ascii="Arial" w:hAnsi="Arial" w:hint="cs"/>
          <w:color w:val="000000"/>
          <w:rtl/>
        </w:rPr>
        <w:t xml:space="preserve">בנוסף, קיימות אמנות והכרזות בינלאומיות, אשר מכירות בזכות לשוויון בעבודה כזכות יסוד, ואמנות אלו, גם הן, מנחות את בית המשפט בישראל בפסיקתו. </w:t>
      </w:r>
    </w:p>
    <w:p w:rsidR="00AD3DDE" w:rsidRDefault="00AD3DDE" w:rsidP="00AD3DDE">
      <w:pPr>
        <w:spacing w:line="480" w:lineRule="auto"/>
        <w:jc w:val="both"/>
        <w:rPr>
          <w:rFonts w:ascii="Arial" w:hAnsi="Arial" w:hint="cs"/>
          <w:color w:val="000000"/>
          <w:rtl/>
        </w:rPr>
      </w:pPr>
      <w:r>
        <w:rPr>
          <w:rFonts w:ascii="Arial" w:hAnsi="Arial" w:hint="cs"/>
          <w:color w:val="000000"/>
          <w:rtl/>
        </w:rPr>
        <w:t>הטעמים האסורים לאפליה כוללים בין השאר אפליה מטעמי מין ומוגבלויות פיזיות ומנטליות, ולפיכך אסורה</w:t>
      </w:r>
      <w:r w:rsidR="001B09BC">
        <w:rPr>
          <w:rFonts w:ascii="Arial" w:hAnsi="Arial" w:hint="cs"/>
          <w:color w:val="000000"/>
          <w:rtl/>
        </w:rPr>
        <w:t xml:space="preserve"> אפליית נשים כמו גם אפליית נכים, כפי שהדבר בא לידי ביטוי בהוראות החשב הכללי.</w:t>
      </w:r>
    </w:p>
    <w:p w:rsidR="00AD3DDE" w:rsidRDefault="00AD3DDE" w:rsidP="00AD3DDE">
      <w:pPr>
        <w:spacing w:line="480" w:lineRule="auto"/>
        <w:jc w:val="both"/>
        <w:rPr>
          <w:rFonts w:ascii="Arial" w:hAnsi="Arial" w:hint="cs"/>
          <w:color w:val="000000"/>
          <w:rtl/>
        </w:rPr>
      </w:pPr>
      <w:r>
        <w:rPr>
          <w:rFonts w:ascii="Arial" w:hAnsi="Arial" w:hint="cs"/>
          <w:color w:val="000000"/>
          <w:rtl/>
        </w:rPr>
        <w:t xml:space="preserve">הזכות לשוויון בעבודה מכילה בתוכה גם את השוויון ביחס ובסיכוי וגם את השוויון בתוצאות. הוראת החשב הכללי הדורשת החזקת רשיון נהיגה כתנאי לקבל ההחזרים </w:t>
      </w:r>
      <w:r w:rsidRPr="00160C81">
        <w:rPr>
          <w:rFonts w:ascii="Arial" w:hAnsi="Arial" w:hint="cs"/>
          <w:b/>
          <w:bCs/>
          <w:color w:val="000000"/>
          <w:rtl/>
        </w:rPr>
        <w:t>פוגעת בתוצאת השוויון</w:t>
      </w:r>
      <w:r>
        <w:rPr>
          <w:rFonts w:ascii="Arial" w:hAnsi="Arial" w:hint="cs"/>
          <w:color w:val="000000"/>
          <w:rtl/>
        </w:rPr>
        <w:t xml:space="preserve">, כיוון שבפועל נתונים סטטיסטיים מוכיחים באופן חד משמעי כי במדינת ישראל, מאז הקמתה, תמיד ישנו פער בין מספר הגברים המחזיקים רשיונות נהיגה לבין מספר הנשים, הנמוך ממנו לעתים בעשרות אלפי אנשים. זאת, למרות ייצוגם השווה באוכלוסיה. לפיכך, הטענה כי הוראה זו אינה מפלה בשל סיכויין השווה של הנשים להחזקת רשיון נהיגה </w:t>
      </w:r>
      <w:r>
        <w:rPr>
          <w:rFonts w:ascii="Arial" w:hAnsi="Arial"/>
          <w:color w:val="000000"/>
          <w:rtl/>
        </w:rPr>
        <w:t>–</w:t>
      </w:r>
      <w:r>
        <w:rPr>
          <w:rFonts w:ascii="Arial" w:hAnsi="Arial" w:hint="cs"/>
          <w:color w:val="000000"/>
          <w:rtl/>
        </w:rPr>
        <w:t xml:space="preserve"> דינה להדחות, שכאמור יש להבטיח שוויון גם בתוצאות. באופן דומה, ישנה פגיעה בזכות השוויון של נכים, אשר באופן יחסי מחזיקים בפחות רשיונות נהיגה.</w:t>
      </w:r>
    </w:p>
    <w:p w:rsidR="00AD3DDE" w:rsidRDefault="00AD3DDE" w:rsidP="00AD3DDE">
      <w:pPr>
        <w:spacing w:line="480" w:lineRule="auto"/>
        <w:jc w:val="both"/>
        <w:rPr>
          <w:rFonts w:ascii="Arial" w:hAnsi="Arial" w:hint="cs"/>
          <w:color w:val="000000"/>
          <w:rtl/>
        </w:rPr>
      </w:pPr>
      <w:r>
        <w:rPr>
          <w:rFonts w:ascii="Arial" w:hAnsi="Arial" w:hint="cs"/>
          <w:color w:val="000000"/>
          <w:rtl/>
        </w:rPr>
        <w:t xml:space="preserve">בנוסף, ניתן לטעון כי הוראת החשב הכללי מפלה מעצם טיבה, כיוון שעצם הבעלות על רכב ורשיון נהיגה, עדיין אין בהם כדי להוכיח שימוש ברכב בפועל לצורך נסיעה בתפקיד. </w:t>
      </w:r>
    </w:p>
    <w:p w:rsidR="00AD3DDE" w:rsidRDefault="00AD3DDE" w:rsidP="00AD3DDE">
      <w:pPr>
        <w:spacing w:line="480" w:lineRule="auto"/>
        <w:jc w:val="both"/>
        <w:rPr>
          <w:rFonts w:ascii="Arial" w:hAnsi="Arial" w:hint="cs"/>
          <w:color w:val="000000"/>
          <w:rtl/>
        </w:rPr>
      </w:pPr>
      <w:r>
        <w:rPr>
          <w:rFonts w:ascii="Arial" w:hAnsi="Arial" w:hint="cs"/>
          <w:color w:val="000000"/>
          <w:rtl/>
        </w:rPr>
        <w:t>ראוי לציין כי אפליה תהיה פסולה גם בהעדר כוונה מצד הגורם המפלה.</w:t>
      </w:r>
    </w:p>
    <w:p w:rsidR="00AD3DDE" w:rsidRDefault="00AD3DDE" w:rsidP="00AD3DDE">
      <w:pPr>
        <w:spacing w:line="480" w:lineRule="auto"/>
        <w:jc w:val="both"/>
        <w:rPr>
          <w:rFonts w:ascii="Arial" w:hAnsi="Arial" w:hint="cs"/>
          <w:color w:val="000000"/>
          <w:rtl/>
        </w:rPr>
      </w:pPr>
      <w:r>
        <w:rPr>
          <w:rFonts w:ascii="Arial" w:hAnsi="Arial" w:hint="cs"/>
          <w:color w:val="000000"/>
          <w:rtl/>
        </w:rPr>
        <w:t>מאחר והשוויון מעוגן כזכות יסוד חוקתית, הרי שהחשב הכללי לא יכול להורות בניגוד לו ואינו יכול להפלות בין עובדיו. כמו כן, לביהמ"ש היכולת לבקר הוראות מסוג זה, אשר עומדות בסתירה לחוקי היסוד, ואף להביא לבטלותן של הוראות אלו.</w:t>
      </w:r>
    </w:p>
    <w:p w:rsidR="00AD3DDE" w:rsidRDefault="00AD3DDE" w:rsidP="00AD3DDE">
      <w:pPr>
        <w:spacing w:line="480" w:lineRule="auto"/>
        <w:jc w:val="both"/>
        <w:rPr>
          <w:rFonts w:ascii="Arial" w:hAnsi="Arial" w:hint="cs"/>
          <w:color w:val="000000"/>
          <w:rtl/>
        </w:rPr>
      </w:pPr>
      <w:r>
        <w:rPr>
          <w:rFonts w:ascii="Arial" w:hAnsi="Arial" w:hint="cs"/>
          <w:color w:val="000000"/>
          <w:rtl/>
        </w:rPr>
        <w:t xml:space="preserve">יודגש, כי הזכות לשוויון בעבודה הינה </w:t>
      </w:r>
      <w:r w:rsidRPr="007D2283">
        <w:rPr>
          <w:rFonts w:ascii="Arial" w:hAnsi="Arial" w:hint="cs"/>
          <w:b/>
          <w:bCs/>
          <w:color w:val="000000"/>
          <w:rtl/>
        </w:rPr>
        <w:t>זכות יחסית</w:t>
      </w:r>
      <w:r>
        <w:rPr>
          <w:rFonts w:ascii="Arial" w:hAnsi="Arial" w:hint="cs"/>
          <w:color w:val="000000"/>
          <w:rtl/>
        </w:rPr>
        <w:t>, כמו כל זכות יסוד אחרת, לפיכך בעת 'התנגשות' בין זכויות שונות - ביהמ"ש יאזן בינהן ע"פ כללים קבועים, אולם עליו להשתדל שהפגיעה בשוויון תהיה המוצא האחרון.</w:t>
      </w:r>
    </w:p>
    <w:p w:rsidR="00183DAF" w:rsidRDefault="00183DAF" w:rsidP="00AD3DDE">
      <w:pPr>
        <w:spacing w:line="480" w:lineRule="auto"/>
        <w:jc w:val="both"/>
        <w:rPr>
          <w:rFonts w:ascii="Arial" w:hAnsi="Arial" w:hint="cs"/>
          <w:color w:val="000000"/>
          <w:rtl/>
        </w:rPr>
      </w:pPr>
    </w:p>
    <w:p w:rsidR="00183DAF" w:rsidRPr="00F56623" w:rsidRDefault="00183DAF" w:rsidP="00183DAF">
      <w:pPr>
        <w:pStyle w:val="1"/>
        <w:rPr>
          <w:rFonts w:hint="cs"/>
        </w:rPr>
      </w:pPr>
      <w:bookmarkStart w:id="28" w:name="_Toc144716280"/>
      <w:r w:rsidRPr="00F56623">
        <w:rPr>
          <w:rFonts w:hint="cs"/>
          <w:rtl/>
        </w:rPr>
        <w:t xml:space="preserve">פרק </w:t>
      </w:r>
      <w:r>
        <w:rPr>
          <w:rFonts w:hint="cs"/>
          <w:rtl/>
        </w:rPr>
        <w:t>ג: החזר ההוצאות כמתן טובת הנאה לעובד</w:t>
      </w:r>
      <w:bookmarkEnd w:id="28"/>
    </w:p>
    <w:p w:rsidR="00183DAF" w:rsidRDefault="00183DAF" w:rsidP="00183DAF">
      <w:pPr>
        <w:spacing w:line="480" w:lineRule="auto"/>
        <w:jc w:val="both"/>
        <w:rPr>
          <w:rFonts w:hint="cs"/>
          <w:rtl/>
        </w:rPr>
      </w:pPr>
      <w:r>
        <w:rPr>
          <w:rFonts w:hint="cs"/>
          <w:rtl/>
        </w:rPr>
        <w:t>בפרק זה נבחן האם הוראת החשב הכללי בדבר החזר הוצאות רכב לעובדים מהווה למעשה טובת הנאה. שאלה זו תבחן במסגרת דיני המיסים, העוסקים בנושא זה, כפי שהדברים מופיעים בפקודת מס הכנסה</w:t>
      </w:r>
      <w:r>
        <w:rPr>
          <w:rStyle w:val="a4"/>
          <w:rtl/>
        </w:rPr>
        <w:footnoteReference w:id="43"/>
      </w:r>
      <w:r>
        <w:rPr>
          <w:rFonts w:hint="cs"/>
          <w:rtl/>
        </w:rPr>
        <w:t xml:space="preserve">. </w:t>
      </w:r>
    </w:p>
    <w:p w:rsidR="00183DAF" w:rsidRDefault="00183DAF" w:rsidP="00D24A7F">
      <w:pPr>
        <w:spacing w:line="480" w:lineRule="auto"/>
        <w:jc w:val="both"/>
        <w:rPr>
          <w:rFonts w:hint="cs"/>
          <w:rtl/>
        </w:rPr>
      </w:pPr>
      <w:r>
        <w:rPr>
          <w:rFonts w:hint="cs"/>
          <w:rtl/>
        </w:rPr>
        <w:t xml:space="preserve">במידה ונוכיח כי אכן החזר הוצאות רכב מהווה </w:t>
      </w:r>
      <w:r w:rsidRPr="00FD269D">
        <w:rPr>
          <w:rFonts w:hint="cs"/>
          <w:b/>
          <w:bCs/>
          <w:rtl/>
        </w:rPr>
        <w:t>טובת הנאה</w:t>
      </w:r>
      <w:r>
        <w:rPr>
          <w:rFonts w:hint="cs"/>
          <w:rtl/>
        </w:rPr>
        <w:t xml:space="preserve">, משמעות הדבר היא כי </w:t>
      </w:r>
      <w:r>
        <w:rPr>
          <w:rFonts w:ascii="Arial" w:hAnsi="Arial" w:hint="cs"/>
          <w:color w:val="000000"/>
          <w:rtl/>
        </w:rPr>
        <w:t xml:space="preserve">מדובר </w:t>
      </w:r>
      <w:r w:rsidRPr="00FD269D">
        <w:rPr>
          <w:rFonts w:ascii="Arial" w:hAnsi="Arial" w:hint="cs"/>
          <w:b/>
          <w:bCs/>
          <w:color w:val="000000"/>
          <w:rtl/>
        </w:rPr>
        <w:t>בשכר</w:t>
      </w:r>
      <w:r>
        <w:rPr>
          <w:rFonts w:ascii="Arial" w:hAnsi="Arial" w:hint="cs"/>
          <w:color w:val="000000"/>
          <w:rtl/>
        </w:rPr>
        <w:t xml:space="preserve"> לכל דבר</w:t>
      </w:r>
      <w:r>
        <w:rPr>
          <w:rFonts w:hint="cs"/>
          <w:rtl/>
        </w:rPr>
        <w:t>, דהיינו הכנסת עבו</w:t>
      </w:r>
      <w:r w:rsidR="009061B8">
        <w:rPr>
          <w:rFonts w:hint="cs"/>
          <w:rtl/>
        </w:rPr>
        <w:t>דה אשר מחוייבת במס הכנסה. הוכחה זו נותנת משנה תוקף לשאלת האפליה הפסולה</w:t>
      </w:r>
      <w:r w:rsidR="0022329A">
        <w:rPr>
          <w:rFonts w:hint="cs"/>
          <w:rtl/>
        </w:rPr>
        <w:t xml:space="preserve"> </w:t>
      </w:r>
      <w:r w:rsidR="009061B8">
        <w:rPr>
          <w:rFonts w:hint="cs"/>
          <w:rtl/>
        </w:rPr>
        <w:t>בהוראת החשב הכללי,</w:t>
      </w:r>
      <w:r w:rsidR="0022329A">
        <w:rPr>
          <w:rFonts w:hint="cs"/>
          <w:rtl/>
        </w:rPr>
        <w:t xml:space="preserve"> אשר פוגעת בזכות השוויון,</w:t>
      </w:r>
      <w:r w:rsidR="009061B8">
        <w:rPr>
          <w:rFonts w:hint="cs"/>
          <w:rtl/>
        </w:rPr>
        <w:t xml:space="preserve"> שכן לאורה</w:t>
      </w:r>
      <w:r>
        <w:rPr>
          <w:rFonts w:hint="cs"/>
          <w:rtl/>
        </w:rPr>
        <w:t xml:space="preserve"> </w:t>
      </w:r>
      <w:r w:rsidR="009061B8">
        <w:rPr>
          <w:rFonts w:hint="cs"/>
          <w:rtl/>
        </w:rPr>
        <w:t>יש</w:t>
      </w:r>
      <w:r w:rsidR="00292E9E">
        <w:rPr>
          <w:rFonts w:hint="cs"/>
          <w:rtl/>
        </w:rPr>
        <w:t xml:space="preserve"> לחקור</w:t>
      </w:r>
      <w:r>
        <w:rPr>
          <w:rFonts w:hint="cs"/>
          <w:rtl/>
        </w:rPr>
        <w:t xml:space="preserve"> מדוע שני אנשים בעלי כישורים זהים, המבצעים עבודה זהה, יקבלו שכר שונה </w:t>
      </w:r>
      <w:r>
        <w:rPr>
          <w:rtl/>
        </w:rPr>
        <w:t>–</w:t>
      </w:r>
      <w:r>
        <w:rPr>
          <w:rFonts w:hint="cs"/>
          <w:rtl/>
        </w:rPr>
        <w:t xml:space="preserve"> בדמות אותה טובת הנאה - וזאת רק בשל היות האחד בעל רכב ורשיון נהיגה והיות השני משולל כל זאת. </w:t>
      </w:r>
    </w:p>
    <w:p w:rsidR="00183DAF" w:rsidRDefault="00183DAF" w:rsidP="00183DAF">
      <w:pPr>
        <w:spacing w:line="480" w:lineRule="auto"/>
        <w:jc w:val="both"/>
        <w:rPr>
          <w:rFonts w:hint="cs"/>
          <w:rtl/>
        </w:rPr>
      </w:pPr>
      <w:r>
        <w:rPr>
          <w:rFonts w:hint="cs"/>
          <w:rtl/>
        </w:rPr>
        <w:t>נפתח, אם-כן, בשאלה האם ההוראה בדבר החזר הוצאות רכב מהווה טובת הנאה, כפי שהדברים מופיעים בדיני המיסים.</w:t>
      </w:r>
    </w:p>
    <w:p w:rsidR="00183DAF" w:rsidRDefault="00183DAF" w:rsidP="00183DAF">
      <w:pPr>
        <w:spacing w:line="480" w:lineRule="auto"/>
        <w:jc w:val="both"/>
        <w:rPr>
          <w:rFonts w:hint="cs"/>
          <w:rtl/>
        </w:rPr>
      </w:pPr>
    </w:p>
    <w:p w:rsidR="00183DAF" w:rsidRPr="00E37FF4" w:rsidRDefault="00183DAF" w:rsidP="00183DAF">
      <w:pPr>
        <w:pStyle w:val="2"/>
        <w:rPr>
          <w:rFonts w:hint="cs"/>
          <w:sz w:val="32"/>
          <w:szCs w:val="32"/>
          <w:rtl/>
        </w:rPr>
      </w:pPr>
      <w:bookmarkStart w:id="29" w:name="_Toc144716281"/>
      <w:r w:rsidRPr="00485311">
        <w:rPr>
          <w:rFonts w:hint="cs"/>
          <w:rtl/>
        </w:rPr>
        <w:t>רקע</w:t>
      </w:r>
      <w:bookmarkEnd w:id="29"/>
    </w:p>
    <w:p w:rsidR="00183DAF" w:rsidRDefault="00183DAF" w:rsidP="00183DAF">
      <w:pPr>
        <w:spacing w:line="480" w:lineRule="auto"/>
        <w:jc w:val="both"/>
        <w:rPr>
          <w:rFonts w:hint="cs"/>
          <w:rtl/>
        </w:rPr>
      </w:pPr>
      <w:r>
        <w:rPr>
          <w:rFonts w:hint="cs"/>
          <w:rtl/>
        </w:rPr>
        <w:t xml:space="preserve">תשלומי שכר לעובדים היוו בעבר מקור ל"תכנוני מס" שונים בין המעביד לעובדו, במטרה להעניק לעובד טובות הנאה "נטו", כך שהכנסתו תגדל ואילו המעביד לא יצטרך להגדיל באופן ניכר את ההוצאה. </w:t>
      </w:r>
    </w:p>
    <w:p w:rsidR="00183DAF" w:rsidRDefault="00183DAF" w:rsidP="00183DAF">
      <w:pPr>
        <w:spacing w:line="480" w:lineRule="auto"/>
        <w:jc w:val="both"/>
        <w:rPr>
          <w:rFonts w:hint="cs"/>
          <w:rtl/>
        </w:rPr>
      </w:pPr>
      <w:r>
        <w:rPr>
          <w:rFonts w:hint="cs"/>
          <w:rtl/>
        </w:rPr>
        <w:t>כתוצאה מכך נעשו "סידורים" של הענקת טובות הנאה לעובדים, אשר נקראו בשמות שונים, כגון כיסוי הוצאות רכב, טלפון, ספרות, חינוך וכד', המהווים מחד גיסא הוצאה למעביד ומאידך גיסא הכנסה פטורה ממס לעובד</w:t>
      </w:r>
      <w:r w:rsidRPr="007A134E">
        <w:rPr>
          <w:rStyle w:val="a4"/>
          <w:rtl/>
        </w:rPr>
        <w:footnoteReference w:id="44"/>
      </w:r>
      <w:r>
        <w:rPr>
          <w:rFonts w:hint="cs"/>
          <w:rtl/>
        </w:rPr>
        <w:t>.</w:t>
      </w:r>
    </w:p>
    <w:p w:rsidR="00183DAF" w:rsidRDefault="00183DAF" w:rsidP="00183DAF">
      <w:pPr>
        <w:spacing w:line="480" w:lineRule="auto"/>
        <w:jc w:val="both"/>
        <w:rPr>
          <w:rFonts w:hint="cs"/>
          <w:rtl/>
        </w:rPr>
      </w:pPr>
      <w:r>
        <w:rPr>
          <w:rFonts w:hint="cs"/>
          <w:rtl/>
        </w:rPr>
        <w:t>תיקון מספר 22 לפקודת מס הכנסה</w:t>
      </w:r>
      <w:r>
        <w:rPr>
          <w:rStyle w:val="a4"/>
          <w:rtl/>
        </w:rPr>
        <w:footnoteReference w:id="45"/>
      </w:r>
      <w:r>
        <w:rPr>
          <w:rFonts w:hint="cs"/>
          <w:rtl/>
        </w:rPr>
        <w:t xml:space="preserve">, אשר ניתן לראותו כרפורמה הגדולה ביותר במס בישראל עד לאותו מועד, בא בעקבות המלצות ועדה בראשות פרופ' ח' בן-שחר. עד לרפורמה זו, שימשו הכנסות עבודה בידי העובדים והמעבידים להעברת תשלומים הפטורים ממס באמצעות תשלום "תוספות" שונות. הרפורמה שינתה את גישת היסוד, ופקודת מס הכנסה אינה מכירה עוד בהוצאות מסויימות בגין השתתפות בהחזקת רכב, שיחות טלפון וכו' של עובדים. המתקפה היתה כפולה: הוצאות שונות של העובד, שעליהן קיבל החזר מן המעביד והיו פטורות ממס - מעתה </w:t>
      </w:r>
      <w:r>
        <w:rPr>
          <w:rFonts w:hint="cs"/>
          <w:rtl/>
        </w:rPr>
        <w:lastRenderedPageBreak/>
        <w:t>ייחשבו כהכנסות העובד לכל דבר ולפיכך יחוייבו במס, ואילו מקום בו לא ניתן לייחס הכנסות לעובד- לא תוכר ההוצאה למעביד.</w:t>
      </w:r>
    </w:p>
    <w:p w:rsidR="00183DAF" w:rsidRDefault="00183DAF" w:rsidP="00183DAF">
      <w:pPr>
        <w:spacing w:line="480" w:lineRule="auto"/>
        <w:jc w:val="both"/>
        <w:rPr>
          <w:rFonts w:hint="cs"/>
          <w:rtl/>
        </w:rPr>
      </w:pPr>
      <w:r>
        <w:rPr>
          <w:rFonts w:hint="cs"/>
          <w:rtl/>
        </w:rPr>
        <w:t xml:space="preserve">יש לציין כי מעבר לשאלת המיסוי קיימת השלכה לתשלומי השכר השונים לעניין חישוב </w:t>
      </w:r>
      <w:r w:rsidRPr="00370F98">
        <w:rPr>
          <w:rFonts w:hint="cs"/>
          <w:b/>
          <w:bCs/>
          <w:rtl/>
        </w:rPr>
        <w:t>הפנסיה</w:t>
      </w:r>
      <w:r>
        <w:rPr>
          <w:rFonts w:hint="cs"/>
          <w:rtl/>
        </w:rPr>
        <w:t xml:space="preserve"> לעובד. תשלומי שכר שונים אשר מתווספים לבסיס השכר יכולים להעלות את הפנסיה שצובר העובד ולפיכך יש להם השלכה מעבר לסכום המיידי המשולם. </w:t>
      </w:r>
    </w:p>
    <w:p w:rsidR="00183DAF" w:rsidRDefault="00183DAF" w:rsidP="00183DAF">
      <w:pPr>
        <w:spacing w:line="480" w:lineRule="auto"/>
        <w:jc w:val="both"/>
        <w:rPr>
          <w:rFonts w:hint="cs"/>
          <w:b/>
          <w:bCs/>
          <w:sz w:val="32"/>
          <w:szCs w:val="32"/>
          <w:u w:val="single"/>
          <w:rtl/>
        </w:rPr>
      </w:pPr>
    </w:p>
    <w:p w:rsidR="00183DAF" w:rsidRPr="00485311" w:rsidRDefault="00183DAF" w:rsidP="00183DAF">
      <w:pPr>
        <w:pStyle w:val="2"/>
        <w:rPr>
          <w:rFonts w:hint="cs"/>
          <w:rtl/>
        </w:rPr>
      </w:pPr>
      <w:bookmarkStart w:id="30" w:name="_Toc144716282"/>
      <w:r w:rsidRPr="00485311">
        <w:rPr>
          <w:rFonts w:hint="cs"/>
          <w:rtl/>
        </w:rPr>
        <w:t>המצב החוקי כיום</w:t>
      </w:r>
      <w:bookmarkEnd w:id="30"/>
    </w:p>
    <w:p w:rsidR="00183DAF" w:rsidRPr="00E37FF4" w:rsidRDefault="00183DAF" w:rsidP="00183DAF">
      <w:pPr>
        <w:spacing w:line="480" w:lineRule="auto"/>
        <w:jc w:val="both"/>
        <w:rPr>
          <w:rFonts w:hint="cs"/>
          <w:b/>
          <w:bCs/>
          <w:sz w:val="32"/>
          <w:szCs w:val="32"/>
          <w:u w:val="single"/>
          <w:rtl/>
        </w:rPr>
      </w:pPr>
      <w:r>
        <w:rPr>
          <w:rFonts w:hint="cs"/>
          <w:rtl/>
        </w:rPr>
        <w:t>סעיף 2 לפקודת מס הכנסה, אשר תוקן במסגרת רפורמה זו, מגדיר מהם מקורות ההכנסה החייבים במס:</w:t>
      </w:r>
    </w:p>
    <w:p w:rsidR="00183DAF" w:rsidRPr="00171FE6" w:rsidRDefault="00183DAF" w:rsidP="00183DAF">
      <w:pPr>
        <w:spacing w:line="480" w:lineRule="auto"/>
        <w:ind w:left="720"/>
        <w:jc w:val="both"/>
        <w:rPr>
          <w:i/>
          <w:iCs/>
          <w:rtl/>
        </w:rPr>
      </w:pPr>
      <w:r w:rsidRPr="00171FE6">
        <w:rPr>
          <w:i/>
          <w:iCs/>
          <w:rtl/>
        </w:rPr>
        <w:t xml:space="preserve">2. מקורות הכנסה </w:t>
      </w:r>
    </w:p>
    <w:p w:rsidR="00183DAF" w:rsidRPr="00171FE6" w:rsidRDefault="00183DAF" w:rsidP="00183DAF">
      <w:pPr>
        <w:spacing w:line="480" w:lineRule="auto"/>
        <w:ind w:left="720"/>
        <w:jc w:val="both"/>
        <w:rPr>
          <w:rFonts w:hint="cs"/>
          <w:i/>
          <w:iCs/>
          <w:rtl/>
        </w:rPr>
      </w:pPr>
      <w:r w:rsidRPr="00171FE6">
        <w:rPr>
          <w:i/>
          <w:iCs/>
          <w:rtl/>
        </w:rPr>
        <w:t>מס הכנסה יהא משתלם, בכפוף להוראות פקודה זו, לכל שנת מס, בשיעורים המפורטים להלן, על הכנסתו של אדם תושב ישראל שהופקה או שנצמחה בישראל או מחוץ לישראל ועל הכנסתו של אדם תושב חוץ שהופקה או שנצמחה בישראל, ממקורות אלה</w:t>
      </w:r>
      <w:r w:rsidRPr="00171FE6">
        <w:rPr>
          <w:rFonts w:hint="cs"/>
          <w:i/>
          <w:iCs/>
          <w:rtl/>
        </w:rPr>
        <w:t>...</w:t>
      </w:r>
    </w:p>
    <w:p w:rsidR="00183DAF" w:rsidRPr="00171FE6" w:rsidRDefault="00183DAF" w:rsidP="00183DAF">
      <w:pPr>
        <w:spacing w:line="480" w:lineRule="auto"/>
        <w:ind w:left="1440"/>
        <w:jc w:val="both"/>
        <w:rPr>
          <w:rFonts w:hint="cs"/>
          <w:i/>
          <w:iCs/>
          <w:rtl/>
        </w:rPr>
      </w:pPr>
      <w:r w:rsidRPr="00171FE6">
        <w:rPr>
          <w:i/>
          <w:iCs/>
          <w:rtl/>
        </w:rPr>
        <w:t>(2) עבודה</w:t>
      </w:r>
    </w:p>
    <w:p w:rsidR="00183DAF" w:rsidRPr="00171FE6" w:rsidRDefault="00183DAF" w:rsidP="00183DAF">
      <w:pPr>
        <w:spacing w:line="480" w:lineRule="auto"/>
        <w:ind w:left="1440"/>
        <w:jc w:val="both"/>
        <w:rPr>
          <w:i/>
          <w:iCs/>
          <w:rtl/>
        </w:rPr>
      </w:pPr>
      <w:r w:rsidRPr="00171FE6">
        <w:rPr>
          <w:i/>
          <w:iCs/>
          <w:rtl/>
        </w:rPr>
        <w:t xml:space="preserve">(א) </w:t>
      </w:r>
      <w:r w:rsidRPr="00171FE6">
        <w:rPr>
          <w:rFonts w:hint="cs"/>
          <w:i/>
          <w:iCs/>
          <w:rtl/>
        </w:rPr>
        <w:t>...</w:t>
      </w:r>
      <w:r w:rsidRPr="00171FE6">
        <w:rPr>
          <w:i/>
          <w:iCs/>
          <w:rtl/>
        </w:rPr>
        <w:t xml:space="preserve"> כל טובת הנאה או קצובה שניתנו לעובד ממעבידו;</w:t>
      </w:r>
    </w:p>
    <w:p w:rsidR="00183DAF" w:rsidRPr="00171FE6" w:rsidRDefault="00183DAF" w:rsidP="00183DAF">
      <w:pPr>
        <w:spacing w:line="480" w:lineRule="auto"/>
        <w:ind w:left="1440"/>
        <w:jc w:val="both"/>
        <w:rPr>
          <w:rFonts w:hint="cs"/>
          <w:i/>
          <w:iCs/>
          <w:rtl/>
        </w:rPr>
      </w:pPr>
      <w:r w:rsidRPr="00171FE6">
        <w:rPr>
          <w:i/>
          <w:iCs/>
          <w:rtl/>
        </w:rPr>
        <w:t xml:space="preserve">תשלומים שניתנו לעובד לכיסוי הוצאותיו, לרבות תשלומים בשל החזקת רכב או טלפון, נסיעות לחוץ לארץ או רכישת ספרות מקצועית או ביגוד, אך למעט תשלומים כאמור המותרים לעובד כהוצאה; </w:t>
      </w:r>
      <w:r w:rsidRPr="00171FE6">
        <w:rPr>
          <w:rFonts w:hint="cs"/>
          <w:i/>
          <w:iCs/>
          <w:rtl/>
        </w:rPr>
        <w:t xml:space="preserve">... </w:t>
      </w:r>
      <w:r w:rsidRPr="00171FE6">
        <w:rPr>
          <w:i/>
          <w:iCs/>
          <w:rtl/>
        </w:rPr>
        <w:t>והכל - בין שניתנו בכסף ובין בשווה כסף, בין שניתנו לעובד במישרין או בעקיפין או שניתנו לאחר לטובתו</w:t>
      </w:r>
      <w:r w:rsidRPr="00171FE6">
        <w:rPr>
          <w:rFonts w:hint="cs"/>
          <w:i/>
          <w:iCs/>
          <w:rtl/>
        </w:rPr>
        <w:t>.</w:t>
      </w:r>
    </w:p>
    <w:p w:rsidR="00183DAF" w:rsidRDefault="00183DAF" w:rsidP="00183DAF">
      <w:pPr>
        <w:spacing w:line="480" w:lineRule="auto"/>
        <w:jc w:val="both"/>
        <w:rPr>
          <w:rFonts w:hint="cs"/>
          <w:rtl/>
        </w:rPr>
      </w:pPr>
    </w:p>
    <w:p w:rsidR="00183DAF" w:rsidRDefault="00183DAF" w:rsidP="00183DAF">
      <w:pPr>
        <w:spacing w:line="480" w:lineRule="auto"/>
        <w:jc w:val="both"/>
        <w:rPr>
          <w:rFonts w:hint="cs"/>
          <w:rtl/>
        </w:rPr>
      </w:pPr>
      <w:r>
        <w:rPr>
          <w:rFonts w:hint="cs"/>
          <w:rtl/>
        </w:rPr>
        <w:t xml:space="preserve">מסעיף זה עולה כי יש לשלם מס על הכנסה מעבודה, אף אם אינה בדמות משכורת אלא מגולמת בצורה של טובת הנאה, וכי דינם של כסף ושווה כסף זהה לעניין זה. בנוסף, סוברים המלומדים שמשמעות סעיף זה היא כי תשלומים שניתנו לעובד לכיסוי הוצאות הרכב הינו </w:t>
      </w:r>
      <w:r w:rsidRPr="00AD3817">
        <w:rPr>
          <w:rFonts w:hint="cs"/>
          <w:b/>
          <w:bCs/>
          <w:rtl/>
        </w:rPr>
        <w:t>מקרה פרטי</w:t>
      </w:r>
      <w:r>
        <w:rPr>
          <w:rFonts w:hint="cs"/>
          <w:rtl/>
        </w:rPr>
        <w:t xml:space="preserve"> של טובת ההנאה המופיעה בתחילת הסעיף, הניתנת מן המעביד לעובד. </w:t>
      </w:r>
    </w:p>
    <w:p w:rsidR="00183DAF" w:rsidRDefault="00183DAF" w:rsidP="00183DAF">
      <w:pPr>
        <w:spacing w:line="480" w:lineRule="auto"/>
        <w:jc w:val="both"/>
        <w:rPr>
          <w:rFonts w:hint="cs"/>
          <w:rtl/>
        </w:rPr>
      </w:pPr>
    </w:p>
    <w:p w:rsidR="00183DAF" w:rsidRPr="00485311" w:rsidRDefault="00183DAF" w:rsidP="00183DAF">
      <w:pPr>
        <w:pStyle w:val="2"/>
        <w:rPr>
          <w:rFonts w:hint="cs"/>
          <w:rtl/>
        </w:rPr>
      </w:pPr>
      <w:bookmarkStart w:id="31" w:name="_Toc144716283"/>
      <w:r w:rsidRPr="00485311">
        <w:rPr>
          <w:rFonts w:hint="cs"/>
          <w:rtl/>
        </w:rPr>
        <w:lastRenderedPageBreak/>
        <w:t>פירוט מרכיבי סעיף 2(2)</w:t>
      </w:r>
      <w:r>
        <w:rPr>
          <w:rFonts w:hint="cs"/>
          <w:rtl/>
        </w:rPr>
        <w:t xml:space="preserve"> </w:t>
      </w:r>
      <w:r>
        <w:rPr>
          <w:rtl/>
        </w:rPr>
        <w:t>–</w:t>
      </w:r>
      <w:r>
        <w:rPr>
          <w:rFonts w:hint="cs"/>
          <w:rtl/>
        </w:rPr>
        <w:t xml:space="preserve"> מקורות הכנסה מעבודה</w:t>
      </w:r>
      <w:bookmarkEnd w:id="31"/>
    </w:p>
    <w:p w:rsidR="00183DAF" w:rsidRDefault="00183DAF" w:rsidP="00183DAF">
      <w:pPr>
        <w:spacing w:line="480" w:lineRule="auto"/>
        <w:jc w:val="both"/>
        <w:rPr>
          <w:rFonts w:hint="cs"/>
          <w:rtl/>
        </w:rPr>
      </w:pPr>
      <w:r>
        <w:rPr>
          <w:rFonts w:hint="cs"/>
          <w:rtl/>
        </w:rPr>
        <w:t>1. הכנסת עבודה החייבת במס לפי סעיף זה, הינה הכנסת העובד, הנובעת מקיומם של יחסי עובד-מעביד, ומשולמת לו עקב קיום יחסים אלו. ההנחה היא כי במקרה דנן מתקיימים בברור יחסי עובד-מעביד, גם ללא צורך במבחנים שהעמידה הפסיקה לשאלה זו</w:t>
      </w:r>
      <w:r>
        <w:rPr>
          <w:rStyle w:val="a4"/>
          <w:rtl/>
        </w:rPr>
        <w:footnoteReference w:id="46"/>
      </w:r>
      <w:r>
        <w:rPr>
          <w:rFonts w:hint="cs"/>
          <w:rtl/>
        </w:rPr>
        <w:t xml:space="preserve">. </w:t>
      </w:r>
    </w:p>
    <w:p w:rsidR="00183DAF" w:rsidRDefault="00183DAF" w:rsidP="00183DAF">
      <w:pPr>
        <w:spacing w:line="480" w:lineRule="auto"/>
        <w:jc w:val="both"/>
        <w:rPr>
          <w:rFonts w:hint="cs"/>
          <w:rtl/>
        </w:rPr>
      </w:pPr>
    </w:p>
    <w:p w:rsidR="00183DAF" w:rsidRDefault="00183DAF" w:rsidP="00183DAF">
      <w:pPr>
        <w:spacing w:line="480" w:lineRule="auto"/>
        <w:jc w:val="both"/>
        <w:rPr>
          <w:rFonts w:hint="cs"/>
          <w:rtl/>
        </w:rPr>
      </w:pPr>
    </w:p>
    <w:p w:rsidR="00183DAF" w:rsidRDefault="00183DAF" w:rsidP="00183DAF">
      <w:pPr>
        <w:spacing w:line="480" w:lineRule="auto"/>
        <w:jc w:val="both"/>
        <w:rPr>
          <w:rFonts w:hint="cs"/>
          <w:rtl/>
        </w:rPr>
      </w:pPr>
    </w:p>
    <w:p w:rsidR="00183DAF" w:rsidRPr="000005BA" w:rsidRDefault="00183DAF" w:rsidP="00183DAF">
      <w:pPr>
        <w:spacing w:line="480" w:lineRule="auto"/>
        <w:jc w:val="both"/>
        <w:rPr>
          <w:rFonts w:hint="cs"/>
          <w:rtl/>
        </w:rPr>
      </w:pPr>
      <w:r>
        <w:rPr>
          <w:rFonts w:hint="cs"/>
          <w:rtl/>
        </w:rPr>
        <w:t xml:space="preserve">2.  </w:t>
      </w:r>
      <w:r w:rsidRPr="000005BA">
        <w:rPr>
          <w:rFonts w:hint="cs"/>
          <w:rtl/>
        </w:rPr>
        <w:t>"</w:t>
      </w:r>
      <w:r w:rsidRPr="000005BA">
        <w:rPr>
          <w:rtl/>
        </w:rPr>
        <w:t>כל טובת הנאה או קצובה שניתנו לעובד ממעבידו</w:t>
      </w:r>
      <w:r w:rsidRPr="000005BA">
        <w:rPr>
          <w:rFonts w:hint="cs"/>
          <w:rtl/>
        </w:rPr>
        <w:t>"</w:t>
      </w:r>
    </w:p>
    <w:p w:rsidR="00183DAF" w:rsidRDefault="00183DAF" w:rsidP="00183DAF">
      <w:pPr>
        <w:spacing w:line="480" w:lineRule="auto"/>
        <w:jc w:val="both"/>
        <w:rPr>
          <w:rFonts w:hint="cs"/>
          <w:rtl/>
        </w:rPr>
      </w:pPr>
      <w:r>
        <w:rPr>
          <w:rFonts w:hint="cs"/>
          <w:rtl/>
        </w:rPr>
        <w:t>לשם הקביעה האם מדובר ב"טובת הנאה" אשר תגרור חיוב במס כהגדרתה בסעיף, נקבע בפסיקה מבחן "נוחות המעביד"</w:t>
      </w:r>
      <w:r>
        <w:rPr>
          <w:rStyle w:val="a4"/>
          <w:rtl/>
        </w:rPr>
        <w:footnoteReference w:id="47"/>
      </w:r>
      <w:r>
        <w:rPr>
          <w:rFonts w:hint="cs"/>
          <w:rtl/>
        </w:rPr>
        <w:t>. מבחן נוחות המעביד קובע כי אם טיבו של התפקיד מצריך את העובד להזקק למצרך או לשירות, אזי טובת ההנאה או הקצובה איננה מהווה הכנסת עבודה החייבת במס. לעומת זאת, כאשר טובת ההנאה ניתנת כחלק מהתמורה המשתלמת לעובד תמורת שירותיו, הרי היא בגדר הכנסת עבודה החייבת במס.</w:t>
      </w:r>
    </w:p>
    <w:p w:rsidR="00183DAF" w:rsidRDefault="00183DAF" w:rsidP="00183DAF">
      <w:pPr>
        <w:spacing w:line="480" w:lineRule="auto"/>
        <w:jc w:val="both"/>
        <w:rPr>
          <w:rFonts w:hint="cs"/>
          <w:rtl/>
        </w:rPr>
      </w:pPr>
    </w:p>
    <w:p w:rsidR="00183DAF" w:rsidRDefault="00183DAF" w:rsidP="00183DAF">
      <w:pPr>
        <w:spacing w:line="480" w:lineRule="auto"/>
        <w:jc w:val="both"/>
        <w:rPr>
          <w:rFonts w:hint="cs"/>
          <w:rtl/>
        </w:rPr>
      </w:pPr>
      <w:r w:rsidRPr="00CD59E8">
        <w:rPr>
          <w:rFonts w:hint="cs"/>
          <w:b/>
          <w:bCs/>
          <w:rtl/>
        </w:rPr>
        <w:t>במקרה דנן המעביד מחזיר לעובד את הוצאות המס של השימוש ברכב, וכיוון שכך הרי ש</w:t>
      </w:r>
      <w:r>
        <w:rPr>
          <w:rFonts w:hint="cs"/>
          <w:b/>
          <w:bCs/>
          <w:rtl/>
        </w:rPr>
        <w:t>הדבר מלמד כי בפועל ישנה הכרה</w:t>
      </w:r>
      <w:r w:rsidRPr="00CD59E8">
        <w:rPr>
          <w:rFonts w:hint="cs"/>
          <w:b/>
          <w:bCs/>
          <w:rtl/>
        </w:rPr>
        <w:t xml:space="preserve"> </w:t>
      </w:r>
      <w:r>
        <w:rPr>
          <w:rFonts w:hint="cs"/>
          <w:b/>
          <w:bCs/>
          <w:rtl/>
        </w:rPr>
        <w:t>של המעביד</w:t>
      </w:r>
      <w:r w:rsidRPr="00CD59E8">
        <w:rPr>
          <w:rFonts w:hint="cs"/>
          <w:b/>
          <w:bCs/>
          <w:rtl/>
        </w:rPr>
        <w:t xml:space="preserve"> בכך שמדובר בטובת הנאה.</w:t>
      </w:r>
      <w:r>
        <w:rPr>
          <w:rFonts w:hint="cs"/>
          <w:rtl/>
        </w:rPr>
        <w:t xml:space="preserve"> אילו המעביד סבר כי זו אינה טובת הנאה, הרי שלדידו </w:t>
      </w:r>
      <w:r>
        <w:rPr>
          <w:rtl/>
        </w:rPr>
        <w:t>–</w:t>
      </w:r>
      <w:r>
        <w:rPr>
          <w:rFonts w:hint="cs"/>
          <w:rtl/>
        </w:rPr>
        <w:t xml:space="preserve"> לאור מבחן "נוחות המעביד" -  לא היתה זו הכנסת עבודה החייבת במס ולכן לא היה מחזיר את הוצאות המס. כיוון שהמעביד (כלומר, במקרה שלנו, המדינה) משלם אף את הוצאות המס ניתן לומר כי הוא עצמו מכיר בכך שטיבו של התפקיד איננו מצריך שימוש ברכב בהכרח, אלא זו טובת הנאה הניתנת לעובד כחלק מהתמורה המשתלמת תמורת שרותיו, ולפיכך חייבת במס.</w:t>
      </w:r>
    </w:p>
    <w:p w:rsidR="00183DAF" w:rsidRDefault="00183DAF" w:rsidP="00183DAF">
      <w:pPr>
        <w:spacing w:line="480" w:lineRule="auto"/>
        <w:jc w:val="both"/>
        <w:rPr>
          <w:rFonts w:hint="cs"/>
          <w:rtl/>
        </w:rPr>
      </w:pPr>
      <w:r>
        <w:rPr>
          <w:rFonts w:hint="cs"/>
          <w:rtl/>
        </w:rPr>
        <w:t>מעבר לכך ניתן לטעון כי רבים הם העובדים המקבלים החזר הוצאות רכב מבלי שתפקידם אכן מצריך שימוש ברכב דווקא</w:t>
      </w:r>
      <w:r>
        <w:rPr>
          <w:rStyle w:val="a4"/>
          <w:rtl/>
        </w:rPr>
        <w:footnoteReference w:id="48"/>
      </w:r>
      <w:r>
        <w:rPr>
          <w:rFonts w:hint="cs"/>
          <w:rtl/>
        </w:rPr>
        <w:t xml:space="preserve">. </w:t>
      </w:r>
    </w:p>
    <w:p w:rsidR="00183DAF" w:rsidRDefault="00183DAF" w:rsidP="00183DAF">
      <w:pPr>
        <w:spacing w:line="480" w:lineRule="auto"/>
        <w:jc w:val="both"/>
        <w:rPr>
          <w:rFonts w:hint="cs"/>
          <w:rtl/>
        </w:rPr>
      </w:pPr>
    </w:p>
    <w:p w:rsidR="00183DAF" w:rsidRDefault="00183DAF" w:rsidP="00183DAF">
      <w:pPr>
        <w:spacing w:line="480" w:lineRule="auto"/>
        <w:jc w:val="both"/>
        <w:rPr>
          <w:rFonts w:hint="cs"/>
          <w:rtl/>
        </w:rPr>
      </w:pPr>
      <w:r>
        <w:rPr>
          <w:rFonts w:hint="cs"/>
          <w:rtl/>
        </w:rPr>
        <w:t>3.  "תשלומים שניתנו לעובד לכיסוי הוצאותיו"</w:t>
      </w:r>
    </w:p>
    <w:p w:rsidR="00183DAF" w:rsidRDefault="00183DAF" w:rsidP="00183DAF">
      <w:pPr>
        <w:spacing w:line="480" w:lineRule="auto"/>
        <w:jc w:val="both"/>
        <w:rPr>
          <w:rFonts w:hint="cs"/>
          <w:rtl/>
        </w:rPr>
      </w:pPr>
      <w:r>
        <w:rPr>
          <w:rFonts w:hint="cs"/>
          <w:rtl/>
        </w:rPr>
        <w:lastRenderedPageBreak/>
        <w:t xml:space="preserve">כוונת הוראה זו של סעיף 2(2) היא שיש לשלם מס על תשלומים שניתנו לעובד לכיסוי </w:t>
      </w:r>
      <w:r w:rsidRPr="0019573B">
        <w:rPr>
          <w:rFonts w:hint="cs"/>
          <w:b/>
          <w:bCs/>
          <w:rtl/>
        </w:rPr>
        <w:t>הוצאותיו שלו</w:t>
      </w:r>
      <w:r>
        <w:rPr>
          <w:rFonts w:hint="cs"/>
          <w:rtl/>
        </w:rPr>
        <w:t xml:space="preserve">, אך לא מדובר על תשלומים אשר הוחזרו לעובד שעה שהוציא הוצאות למען מעבידו. במידה והעובד הוציא למען המעביד הרי שניתן לראות בכך מעין "הלוואה" שנתן העובד למעבידו, דוגמת עובד שרכש מכיסו חומרי גלם בעבור מעבידו ולא ישלם מס על כספי הקניה המוחזרים לו. </w:t>
      </w:r>
    </w:p>
    <w:p w:rsidR="00183DAF" w:rsidRDefault="00183DAF" w:rsidP="00183DAF">
      <w:pPr>
        <w:spacing w:line="480" w:lineRule="auto"/>
        <w:jc w:val="both"/>
        <w:rPr>
          <w:rFonts w:hint="cs"/>
          <w:rtl/>
        </w:rPr>
      </w:pPr>
      <w:r>
        <w:rPr>
          <w:rFonts w:hint="cs"/>
          <w:rtl/>
        </w:rPr>
        <w:t xml:space="preserve">מאידך, קובע הסעיף כי </w:t>
      </w:r>
      <w:r w:rsidRPr="00BA5C85">
        <w:rPr>
          <w:rFonts w:hint="cs"/>
          <w:b/>
          <w:bCs/>
          <w:rtl/>
        </w:rPr>
        <w:t>עובד המקבל כיסוי הוצאות נסיעה שלא נעשתה לצרכי המעביד, או לשם ייצור הכנסת עבודה, ישלם מס בגין החזר זה</w:t>
      </w:r>
      <w:r>
        <w:rPr>
          <w:rFonts w:hint="cs"/>
          <w:rtl/>
        </w:rPr>
        <w:t>. מדובר למעשה ב"טובת הנאה" שלא ניתנה כהחזר כסף ממש</w:t>
      </w:r>
      <w:r>
        <w:rPr>
          <w:rStyle w:val="a4"/>
          <w:rtl/>
        </w:rPr>
        <w:footnoteReference w:id="49"/>
      </w:r>
      <w:r>
        <w:rPr>
          <w:rFonts w:hint="cs"/>
          <w:rtl/>
        </w:rPr>
        <w:t>.</w:t>
      </w:r>
    </w:p>
    <w:p w:rsidR="00183DAF" w:rsidRDefault="00183DAF" w:rsidP="00183DAF">
      <w:pPr>
        <w:spacing w:line="480" w:lineRule="auto"/>
        <w:jc w:val="both"/>
        <w:rPr>
          <w:rFonts w:hint="cs"/>
          <w:rtl/>
        </w:rPr>
      </w:pPr>
    </w:p>
    <w:p w:rsidR="00183DAF" w:rsidRDefault="00183DAF" w:rsidP="00183DAF">
      <w:pPr>
        <w:spacing w:line="480" w:lineRule="auto"/>
        <w:jc w:val="both"/>
        <w:rPr>
          <w:rFonts w:hint="cs"/>
          <w:rtl/>
        </w:rPr>
      </w:pPr>
      <w:r>
        <w:rPr>
          <w:rFonts w:hint="cs"/>
          <w:rtl/>
        </w:rPr>
        <w:t>4.  "</w:t>
      </w:r>
      <w:r w:rsidRPr="00917ED5">
        <w:rPr>
          <w:rtl/>
        </w:rPr>
        <w:t>לרבות תשלומים בשל החזקת רכב</w:t>
      </w:r>
      <w:r>
        <w:rPr>
          <w:rFonts w:hint="cs"/>
          <w:rtl/>
        </w:rPr>
        <w:t xml:space="preserve"> . . .  </w:t>
      </w:r>
      <w:r w:rsidRPr="00ED3C34">
        <w:rPr>
          <w:rtl/>
        </w:rPr>
        <w:t>אך למעט תשלומים כאמור המותרים לעובד כהוצאה</w:t>
      </w:r>
      <w:r>
        <w:rPr>
          <w:rFonts w:hint="cs"/>
          <w:rtl/>
        </w:rPr>
        <w:t>"</w:t>
      </w:r>
    </w:p>
    <w:p w:rsidR="00183DAF" w:rsidRDefault="00183DAF" w:rsidP="00183DAF">
      <w:pPr>
        <w:spacing w:line="480" w:lineRule="auto"/>
        <w:jc w:val="both"/>
        <w:rPr>
          <w:rFonts w:hint="cs"/>
          <w:rtl/>
        </w:rPr>
      </w:pPr>
      <w:r>
        <w:rPr>
          <w:rFonts w:hint="cs"/>
          <w:rtl/>
        </w:rPr>
        <w:t>השימוש המוגבר שנעשה בעבר ב"החזר הוצאות", כפי שמתואר לעיל, הביא לקביעה סטטוטורית של מספר מקרים, בהם ייחשב התשלום כניתן לעובד לכיסוי הוצאותיו, ולכן חייב במס מכח סעיף 2(2) לפקודת מס הכנסה.</w:t>
      </w:r>
    </w:p>
    <w:p w:rsidR="00183DAF" w:rsidRDefault="00183DAF" w:rsidP="00183DAF">
      <w:pPr>
        <w:spacing w:line="480" w:lineRule="auto"/>
        <w:jc w:val="both"/>
        <w:rPr>
          <w:rFonts w:hint="cs"/>
          <w:rtl/>
        </w:rPr>
      </w:pPr>
      <w:r>
        <w:rPr>
          <w:rFonts w:hint="cs"/>
          <w:rtl/>
        </w:rPr>
        <w:t>המקרה הראשון המובא בפקודה לעניין זה הינו "תשלומים בשל החזקת רכב".</w:t>
      </w:r>
    </w:p>
    <w:p w:rsidR="00183DAF" w:rsidRDefault="00183DAF" w:rsidP="00183DAF">
      <w:pPr>
        <w:spacing w:line="480" w:lineRule="auto"/>
        <w:jc w:val="both"/>
        <w:rPr>
          <w:rFonts w:hint="cs"/>
          <w:rtl/>
        </w:rPr>
      </w:pPr>
      <w:r>
        <w:rPr>
          <w:rFonts w:hint="cs"/>
          <w:rtl/>
        </w:rPr>
        <w:t xml:space="preserve">מדובר בתשלומים שניתנים לעובד בעבור שימוש ברכבו הפרטי הן לצרכי עבודתו והן לצרכיו הפרטיים, כפי שמתרחש בענייננו. </w:t>
      </w:r>
    </w:p>
    <w:p w:rsidR="00183DAF" w:rsidRDefault="00183DAF" w:rsidP="00183DAF">
      <w:pPr>
        <w:spacing w:line="480" w:lineRule="auto"/>
        <w:jc w:val="both"/>
        <w:rPr>
          <w:rFonts w:hint="cs"/>
          <w:rtl/>
        </w:rPr>
      </w:pPr>
      <w:r>
        <w:rPr>
          <w:rFonts w:hint="cs"/>
          <w:rtl/>
        </w:rPr>
        <w:t>אם-כן, מה משמעות הסייג הפוטר את העובד מתשלום מס על תשלומים המותרים לו כהוצאה? האם לסייג זה השלכות כלשהן על החזרי הוצאות רכב?</w:t>
      </w:r>
    </w:p>
    <w:p w:rsidR="00183DAF" w:rsidRDefault="00183DAF" w:rsidP="00183DAF">
      <w:pPr>
        <w:spacing w:line="480" w:lineRule="auto"/>
        <w:jc w:val="both"/>
        <w:rPr>
          <w:rFonts w:hint="cs"/>
          <w:rtl/>
        </w:rPr>
      </w:pPr>
    </w:p>
    <w:p w:rsidR="00183DAF" w:rsidRPr="00A9037F" w:rsidRDefault="00183DAF" w:rsidP="00183DAF">
      <w:pPr>
        <w:spacing w:line="480" w:lineRule="auto"/>
        <w:jc w:val="both"/>
        <w:rPr>
          <w:rFonts w:hint="cs"/>
          <w:rtl/>
        </w:rPr>
      </w:pPr>
      <w:r>
        <w:rPr>
          <w:rFonts w:hint="cs"/>
          <w:rtl/>
        </w:rPr>
        <w:t>סעיף 17 לפקודת מס הכנסה קובע:</w:t>
      </w:r>
    </w:p>
    <w:p w:rsidR="00183DAF" w:rsidRPr="00171FE6" w:rsidRDefault="00183DAF" w:rsidP="00183DAF">
      <w:pPr>
        <w:spacing w:line="480" w:lineRule="auto"/>
        <w:ind w:left="720"/>
        <w:jc w:val="both"/>
        <w:rPr>
          <w:rFonts w:hint="cs"/>
          <w:i/>
          <w:iCs/>
          <w:rtl/>
        </w:rPr>
      </w:pPr>
      <w:r w:rsidRPr="00171FE6">
        <w:rPr>
          <w:i/>
          <w:iCs/>
          <w:rtl/>
        </w:rPr>
        <w:t>17. הניכויים המותרים</w:t>
      </w:r>
    </w:p>
    <w:p w:rsidR="00183DAF" w:rsidRPr="00171FE6" w:rsidRDefault="00183DAF" w:rsidP="00183DAF">
      <w:pPr>
        <w:spacing w:line="480" w:lineRule="auto"/>
        <w:ind w:left="720"/>
        <w:jc w:val="both"/>
        <w:rPr>
          <w:rFonts w:hint="cs"/>
          <w:i/>
          <w:iCs/>
          <w:rtl/>
        </w:rPr>
      </w:pPr>
      <w:r w:rsidRPr="00171FE6">
        <w:rPr>
          <w:i/>
          <w:iCs/>
          <w:rtl/>
        </w:rPr>
        <w:t>לשם בירור הכנסתו החייבת של אדם ינוכו</w:t>
      </w:r>
      <w:r w:rsidRPr="00171FE6">
        <w:rPr>
          <w:rFonts w:hint="cs"/>
          <w:i/>
          <w:iCs/>
          <w:rtl/>
        </w:rPr>
        <w:t xml:space="preserve">... </w:t>
      </w:r>
      <w:r w:rsidRPr="00171FE6">
        <w:rPr>
          <w:i/>
          <w:iCs/>
          <w:rtl/>
        </w:rPr>
        <w:t>יציאות והוצאות שיצאו כולן בייצור הכנסתו</w:t>
      </w:r>
      <w:r w:rsidRPr="00171FE6">
        <w:rPr>
          <w:rFonts w:hint="cs"/>
          <w:i/>
          <w:iCs/>
          <w:rtl/>
        </w:rPr>
        <w:t>...</w:t>
      </w:r>
      <w:r w:rsidRPr="00171FE6">
        <w:rPr>
          <w:i/>
          <w:iCs/>
          <w:rtl/>
        </w:rPr>
        <w:t xml:space="preserve"> ולשם כך בלבד</w:t>
      </w:r>
      <w:r w:rsidRPr="00171FE6">
        <w:rPr>
          <w:rFonts w:hint="cs"/>
          <w:i/>
          <w:iCs/>
          <w:rtl/>
        </w:rPr>
        <w:t>.</w:t>
      </w:r>
    </w:p>
    <w:p w:rsidR="00183DAF" w:rsidRDefault="00183DAF" w:rsidP="00183DAF">
      <w:pPr>
        <w:spacing w:line="480" w:lineRule="auto"/>
        <w:jc w:val="both"/>
        <w:rPr>
          <w:rFonts w:hint="cs"/>
          <w:rtl/>
        </w:rPr>
      </w:pPr>
    </w:p>
    <w:p w:rsidR="00183DAF" w:rsidRDefault="00183DAF" w:rsidP="00183DAF">
      <w:pPr>
        <w:spacing w:line="480" w:lineRule="auto"/>
        <w:jc w:val="both"/>
        <w:rPr>
          <w:rFonts w:hint="cs"/>
          <w:rtl/>
        </w:rPr>
      </w:pPr>
      <w:r>
        <w:rPr>
          <w:rFonts w:hint="cs"/>
          <w:rtl/>
        </w:rPr>
        <w:t>דהיינו על-מנת לקבוע מהי ההכנסה החייבת במס יש להוריד מסכום ההכנסה את ההוצאות שהוצאו אך ורק לשם ההכנסה. ניתן יהיה לטעון כי הוצאות הרכב, במקרה של נסיעה בתפקיד, הוצאו לשם ההכנסה ולכן ניתן לנכותן מן הסכום הכולל אשר יחוייב במס, אולם לכלל זה ישנו חריג כאשר מדובר בהוצאות רכב.</w:t>
      </w:r>
    </w:p>
    <w:p w:rsidR="00183DAF" w:rsidRDefault="00183DAF" w:rsidP="00183DAF">
      <w:pPr>
        <w:spacing w:line="480" w:lineRule="auto"/>
        <w:jc w:val="both"/>
        <w:rPr>
          <w:rFonts w:hint="cs"/>
          <w:rtl/>
        </w:rPr>
      </w:pPr>
    </w:p>
    <w:p w:rsidR="00183DAF" w:rsidRDefault="00183DAF" w:rsidP="00183DAF">
      <w:pPr>
        <w:spacing w:line="480" w:lineRule="auto"/>
        <w:jc w:val="both"/>
        <w:rPr>
          <w:rFonts w:hint="cs"/>
          <w:rtl/>
        </w:rPr>
      </w:pPr>
      <w:r>
        <w:rPr>
          <w:rFonts w:hint="cs"/>
          <w:rtl/>
        </w:rPr>
        <w:t>חריג זה מופיע בתקנה 4 לתקנות מס הכנסה (ניכוי הוצאות רכב)</w:t>
      </w:r>
      <w:r>
        <w:rPr>
          <w:rStyle w:val="a4"/>
          <w:rtl/>
        </w:rPr>
        <w:footnoteReference w:id="50"/>
      </w:r>
      <w:r>
        <w:rPr>
          <w:rFonts w:hint="cs"/>
          <w:rtl/>
        </w:rPr>
        <w:t xml:space="preserve"> :</w:t>
      </w:r>
    </w:p>
    <w:p w:rsidR="00183DAF" w:rsidRPr="00D824B9" w:rsidRDefault="00183DAF" w:rsidP="00183DAF">
      <w:pPr>
        <w:spacing w:line="480" w:lineRule="auto"/>
        <w:ind w:left="720"/>
        <w:jc w:val="both"/>
        <w:rPr>
          <w:i/>
          <w:iCs/>
          <w:rtl/>
        </w:rPr>
      </w:pPr>
      <w:r w:rsidRPr="00D824B9">
        <w:rPr>
          <w:i/>
          <w:iCs/>
          <w:rtl/>
        </w:rPr>
        <w:t>4. אי התרת הוצאות לעובד</w:t>
      </w:r>
    </w:p>
    <w:p w:rsidR="00183DAF" w:rsidRPr="00D824B9" w:rsidRDefault="00183DAF" w:rsidP="00183DAF">
      <w:pPr>
        <w:spacing w:line="480" w:lineRule="auto"/>
        <w:ind w:left="720"/>
        <w:jc w:val="both"/>
        <w:rPr>
          <w:i/>
          <w:iCs/>
          <w:rtl/>
        </w:rPr>
      </w:pPr>
      <w:r w:rsidRPr="00D824B9">
        <w:rPr>
          <w:i/>
          <w:iCs/>
          <w:rtl/>
        </w:rPr>
        <w:t>לא יותרו בניכוי הוצאות החזקת רכב שהוצאו בייצור הכנסת עבודה.</w:t>
      </w:r>
    </w:p>
    <w:p w:rsidR="00183DAF" w:rsidRDefault="00183DAF" w:rsidP="00183DAF">
      <w:pPr>
        <w:spacing w:line="480" w:lineRule="auto"/>
        <w:jc w:val="both"/>
        <w:rPr>
          <w:rFonts w:hint="cs"/>
          <w:rtl/>
        </w:rPr>
      </w:pPr>
      <w:r>
        <w:rPr>
          <w:rFonts w:hint="cs"/>
          <w:rtl/>
        </w:rPr>
        <w:t>מסביר המלומד י' גרוס</w:t>
      </w:r>
      <w:r>
        <w:rPr>
          <w:rStyle w:val="a4"/>
          <w:rFonts w:hint="cs"/>
          <w:rtl/>
        </w:rPr>
        <w:t>13</w:t>
      </w:r>
      <w:r>
        <w:rPr>
          <w:rFonts w:hint="cs"/>
          <w:rtl/>
        </w:rPr>
        <w:t xml:space="preserve"> כי מכך ניתן להסיק ש</w:t>
      </w:r>
      <w:r w:rsidRPr="00197A2C">
        <w:rPr>
          <w:rFonts w:hint="cs"/>
          <w:b/>
          <w:bCs/>
          <w:rtl/>
        </w:rPr>
        <w:t>החזר הוצאות החזקת רכב ייחשב בכל מקרה כ"הכנסת עבודה" רגילה בידי העובד</w:t>
      </w:r>
      <w:r>
        <w:rPr>
          <w:rFonts w:hint="cs"/>
          <w:rtl/>
        </w:rPr>
        <w:t xml:space="preserve">, והסייג בסעיף 2(2) לפקודת מס הכנסה, הממעט מן הכלל תשלומים המותרים לעובד כהוצאה, לא יחול על הוצאות אלו.  </w:t>
      </w:r>
    </w:p>
    <w:p w:rsidR="00183DAF" w:rsidRDefault="00183DAF" w:rsidP="00183DAF">
      <w:pPr>
        <w:spacing w:line="480" w:lineRule="auto"/>
        <w:jc w:val="both"/>
        <w:rPr>
          <w:rFonts w:hint="cs"/>
          <w:rtl/>
        </w:rPr>
      </w:pPr>
    </w:p>
    <w:p w:rsidR="00183DAF" w:rsidRPr="00485311" w:rsidRDefault="00183DAF" w:rsidP="00183DAF">
      <w:pPr>
        <w:pStyle w:val="2"/>
        <w:rPr>
          <w:rFonts w:hint="cs"/>
          <w:rtl/>
        </w:rPr>
      </w:pPr>
      <w:bookmarkStart w:id="32" w:name="_Toc144716284"/>
      <w:r w:rsidRPr="00485311">
        <w:rPr>
          <w:rFonts w:hint="cs"/>
          <w:rtl/>
        </w:rPr>
        <w:t>סיכום ביניים</w:t>
      </w:r>
      <w:bookmarkEnd w:id="32"/>
    </w:p>
    <w:p w:rsidR="00183DAF" w:rsidRDefault="00183DAF" w:rsidP="00183DAF">
      <w:pPr>
        <w:spacing w:line="480" w:lineRule="auto"/>
        <w:jc w:val="both"/>
        <w:rPr>
          <w:rFonts w:hint="cs"/>
          <w:rtl/>
        </w:rPr>
      </w:pPr>
      <w:r>
        <w:rPr>
          <w:rFonts w:hint="cs"/>
          <w:rtl/>
        </w:rPr>
        <w:t xml:space="preserve">בפרק זה בחנו את הוראת החשב הכללי בדבר החזר הוצאות רכב, בהיבט של מתן טובת הנאה לעובד. במקרה דנן, טובת ההנאה היא למעשה משכורת המגולמת בצורת החזר הוצאות רכב. </w:t>
      </w:r>
    </w:p>
    <w:p w:rsidR="00183DAF" w:rsidRDefault="00183DAF" w:rsidP="00183DAF">
      <w:pPr>
        <w:spacing w:line="480" w:lineRule="auto"/>
        <w:jc w:val="both"/>
        <w:rPr>
          <w:rFonts w:hint="cs"/>
          <w:rtl/>
        </w:rPr>
      </w:pPr>
      <w:r>
        <w:rPr>
          <w:rFonts w:hint="cs"/>
          <w:rtl/>
        </w:rPr>
        <w:t xml:space="preserve">שאלת קיומה של טובת ההנאה נבחנה במסגרת דיני המס, אשר מתייחסים לסוגיה הספציפית של מתן החזר הוצאות רכב. </w:t>
      </w:r>
    </w:p>
    <w:p w:rsidR="00183DAF" w:rsidRDefault="00183DAF" w:rsidP="00183DAF">
      <w:pPr>
        <w:spacing w:line="480" w:lineRule="auto"/>
        <w:jc w:val="both"/>
        <w:rPr>
          <w:rFonts w:hint="cs"/>
          <w:rtl/>
        </w:rPr>
      </w:pPr>
      <w:r>
        <w:rPr>
          <w:rFonts w:hint="cs"/>
          <w:rtl/>
        </w:rPr>
        <w:t>בחינת פקודת מס הכנסה בתצורתה כיום, העלתה כי ה</w:t>
      </w:r>
      <w:r w:rsidRPr="00AD71B6">
        <w:rPr>
          <w:rFonts w:hint="cs"/>
          <w:rtl/>
        </w:rPr>
        <w:t>החזר</w:t>
      </w:r>
      <w:r>
        <w:rPr>
          <w:rFonts w:hint="cs"/>
          <w:rtl/>
        </w:rPr>
        <w:t xml:space="preserve"> הניתן לעובד בגין</w:t>
      </w:r>
      <w:r w:rsidRPr="00AD71B6">
        <w:rPr>
          <w:rFonts w:hint="cs"/>
          <w:rtl/>
        </w:rPr>
        <w:t xml:space="preserve"> הוצאות רכב</w:t>
      </w:r>
      <w:r>
        <w:rPr>
          <w:rFonts w:hint="cs"/>
          <w:rtl/>
        </w:rPr>
        <w:t xml:space="preserve"> </w:t>
      </w:r>
      <w:r w:rsidRPr="00AD71B6">
        <w:rPr>
          <w:rFonts w:hint="cs"/>
          <w:rtl/>
        </w:rPr>
        <w:t>נחשב כהכנסת עבודה לכל דבר</w:t>
      </w:r>
      <w:r>
        <w:rPr>
          <w:rFonts w:hint="cs"/>
          <w:rtl/>
        </w:rPr>
        <w:t>, איננו שונה ממתן משכורת רגילה, ולפיכך חייב במס.</w:t>
      </w:r>
    </w:p>
    <w:p w:rsidR="00183DAF" w:rsidRPr="00E246F0" w:rsidRDefault="00183DAF" w:rsidP="00183DAF">
      <w:pPr>
        <w:spacing w:line="480" w:lineRule="auto"/>
        <w:jc w:val="both"/>
        <w:rPr>
          <w:rFonts w:hint="cs"/>
          <w:b/>
          <w:bCs/>
          <w:rtl/>
        </w:rPr>
      </w:pPr>
      <w:r w:rsidRPr="00E246F0">
        <w:rPr>
          <w:rFonts w:hint="cs"/>
          <w:b/>
          <w:bCs/>
          <w:rtl/>
        </w:rPr>
        <w:t xml:space="preserve">פקודת מס ההכנסה מגלה כי בעיני המחוקק תשלום הניתן לעובד לכיסוי הוצאות הרכב </w:t>
      </w:r>
      <w:r>
        <w:rPr>
          <w:rFonts w:hint="cs"/>
          <w:b/>
          <w:bCs/>
          <w:rtl/>
        </w:rPr>
        <w:t>מהווה</w:t>
      </w:r>
      <w:r w:rsidRPr="00E246F0">
        <w:rPr>
          <w:rFonts w:hint="cs"/>
          <w:b/>
          <w:bCs/>
          <w:rtl/>
        </w:rPr>
        <w:t xml:space="preserve"> טובת הנאה, אשר מחוייבת במס ככל הכנסה אחרת מעבודה.</w:t>
      </w:r>
    </w:p>
    <w:p w:rsidR="00183DAF" w:rsidRPr="00F30D3A" w:rsidRDefault="00183DAF" w:rsidP="00AD3DDE">
      <w:pPr>
        <w:spacing w:line="480" w:lineRule="auto"/>
        <w:jc w:val="both"/>
        <w:rPr>
          <w:rFonts w:ascii="Arial" w:hAnsi="Arial" w:hint="cs"/>
          <w:color w:val="000000"/>
        </w:rPr>
      </w:pPr>
    </w:p>
    <w:p w:rsidR="00C350B9" w:rsidRDefault="00C350B9">
      <w:pPr>
        <w:rPr>
          <w:rFonts w:hint="cs"/>
          <w:rtl/>
        </w:rPr>
      </w:pPr>
    </w:p>
    <w:p w:rsidR="00AD3DDE" w:rsidRDefault="00AD3DDE">
      <w:pPr>
        <w:rPr>
          <w:rFonts w:hint="cs"/>
          <w:rtl/>
        </w:rPr>
      </w:pPr>
    </w:p>
    <w:p w:rsidR="00C350B9" w:rsidRPr="00854E57" w:rsidRDefault="00612E3D" w:rsidP="00612E3D">
      <w:pPr>
        <w:pStyle w:val="1"/>
        <w:rPr>
          <w:rFonts w:hint="cs"/>
          <w:rtl/>
        </w:rPr>
      </w:pPr>
      <w:r>
        <w:rPr>
          <w:rtl/>
        </w:rPr>
        <w:br w:type="page"/>
      </w:r>
      <w:bookmarkStart w:id="33" w:name="_Toc144716285"/>
      <w:r w:rsidR="00F5197D" w:rsidRPr="00F5197D">
        <w:rPr>
          <w:rFonts w:hint="cs"/>
          <w:rtl/>
        </w:rPr>
        <w:lastRenderedPageBreak/>
        <w:t>פרק ד</w:t>
      </w:r>
      <w:r>
        <w:rPr>
          <w:rFonts w:hint="cs"/>
          <w:rtl/>
        </w:rPr>
        <w:t xml:space="preserve">: </w:t>
      </w:r>
      <w:r w:rsidR="00C350B9" w:rsidRPr="00854E57">
        <w:rPr>
          <w:rFonts w:hint="cs"/>
          <w:rtl/>
        </w:rPr>
        <w:t>דרכי פעולה אפשריות</w:t>
      </w:r>
      <w:bookmarkEnd w:id="33"/>
      <w:r w:rsidR="00C350B9" w:rsidRPr="00854E57">
        <w:rPr>
          <w:rFonts w:hint="cs"/>
          <w:rtl/>
        </w:rPr>
        <w:t xml:space="preserve"> </w:t>
      </w:r>
    </w:p>
    <w:p w:rsidR="00C350B9" w:rsidRDefault="00C350B9" w:rsidP="007773B1">
      <w:pPr>
        <w:spacing w:line="480" w:lineRule="auto"/>
        <w:jc w:val="both"/>
        <w:rPr>
          <w:rFonts w:hint="cs"/>
          <w:rtl/>
        </w:rPr>
      </w:pPr>
      <w:r>
        <w:rPr>
          <w:rFonts w:hint="cs"/>
          <w:rtl/>
        </w:rPr>
        <w:t>במקרה דנן, בו קיים אינטרס לשנות את הקבוע בהנחי</w:t>
      </w:r>
      <w:r w:rsidR="007773B1">
        <w:rPr>
          <w:rFonts w:hint="cs"/>
          <w:rtl/>
        </w:rPr>
        <w:t>ה</w:t>
      </w:r>
      <w:r>
        <w:rPr>
          <w:rFonts w:hint="cs"/>
          <w:rtl/>
        </w:rPr>
        <w:t xml:space="preserve"> המנהלית </w:t>
      </w:r>
      <w:r>
        <w:rPr>
          <w:rtl/>
        </w:rPr>
        <w:t>–</w:t>
      </w:r>
      <w:r>
        <w:rPr>
          <w:rFonts w:hint="cs"/>
          <w:rtl/>
        </w:rPr>
        <w:t xml:space="preserve"> כלומר דרישת הבעלות על רכב</w:t>
      </w:r>
      <w:r w:rsidR="00F5197D">
        <w:rPr>
          <w:rFonts w:hint="cs"/>
          <w:rtl/>
        </w:rPr>
        <w:t xml:space="preserve"> והחזקת רשיון נהיגה</w:t>
      </w:r>
      <w:r>
        <w:rPr>
          <w:rFonts w:hint="cs"/>
          <w:rtl/>
        </w:rPr>
        <w:t xml:space="preserve">, </w:t>
      </w:r>
      <w:r>
        <w:rPr>
          <w:rFonts w:hint="eastAsia"/>
          <w:rtl/>
        </w:rPr>
        <w:t>קיימות</w:t>
      </w:r>
      <w:r>
        <w:rPr>
          <w:rtl/>
        </w:rPr>
        <w:t xml:space="preserve"> </w:t>
      </w:r>
      <w:r>
        <w:rPr>
          <w:rFonts w:hint="cs"/>
          <w:rtl/>
        </w:rPr>
        <w:t>שתי</w:t>
      </w:r>
      <w:r>
        <w:rPr>
          <w:rtl/>
        </w:rPr>
        <w:t xml:space="preserve"> </w:t>
      </w:r>
      <w:r>
        <w:rPr>
          <w:rFonts w:hint="cs"/>
          <w:rtl/>
        </w:rPr>
        <w:t>אפשרויות פעולה חילופיות:</w:t>
      </w:r>
    </w:p>
    <w:p w:rsidR="00F5197D" w:rsidRDefault="00AD0AA9" w:rsidP="00AD0AA9">
      <w:pPr>
        <w:pStyle w:val="2"/>
        <w:rPr>
          <w:rFonts w:hint="cs"/>
          <w:rtl/>
        </w:rPr>
      </w:pPr>
      <w:bookmarkStart w:id="34" w:name="_Toc144716286"/>
      <w:r>
        <w:rPr>
          <w:rtl/>
        </w:rPr>
        <w:t xml:space="preserve">פניה </w:t>
      </w:r>
      <w:r>
        <w:rPr>
          <w:rFonts w:hint="cs"/>
          <w:rtl/>
        </w:rPr>
        <w:t>לחשב הכללי או למשרד האוצר</w:t>
      </w:r>
      <w:bookmarkEnd w:id="34"/>
    </w:p>
    <w:p w:rsidR="00C350B9" w:rsidRDefault="00C350B9" w:rsidP="00C350B9">
      <w:pPr>
        <w:spacing w:line="480" w:lineRule="auto"/>
        <w:jc w:val="both"/>
        <w:rPr>
          <w:rFonts w:hint="cs"/>
          <w:rtl/>
        </w:rPr>
      </w:pPr>
      <w:r w:rsidRPr="005059D0">
        <w:rPr>
          <w:rFonts w:hint="cs"/>
          <w:b/>
          <w:bCs/>
          <w:u w:val="single"/>
          <w:rtl/>
        </w:rPr>
        <w:t>א.</w:t>
      </w:r>
      <w:r>
        <w:rPr>
          <w:rFonts w:hint="cs"/>
          <w:rtl/>
        </w:rPr>
        <w:tab/>
      </w:r>
      <w:r>
        <w:rPr>
          <w:rFonts w:hint="eastAsia"/>
          <w:rtl/>
        </w:rPr>
        <w:t>הדרך</w:t>
      </w:r>
      <w:r>
        <w:rPr>
          <w:rtl/>
        </w:rPr>
        <w:t xml:space="preserve"> הראשונה </w:t>
      </w:r>
      <w:r>
        <w:rPr>
          <w:rFonts w:hint="eastAsia"/>
          <w:rtl/>
        </w:rPr>
        <w:t>בה</w:t>
      </w:r>
      <w:r>
        <w:rPr>
          <w:rtl/>
        </w:rPr>
        <w:t xml:space="preserve"> </w:t>
      </w:r>
      <w:r>
        <w:rPr>
          <w:rFonts w:hint="cs"/>
          <w:rtl/>
        </w:rPr>
        <w:t>יש</w:t>
      </w:r>
      <w:r>
        <w:rPr>
          <w:rtl/>
        </w:rPr>
        <w:t xml:space="preserve"> לנקוט ה</w:t>
      </w:r>
      <w:r>
        <w:rPr>
          <w:rFonts w:hint="cs"/>
          <w:rtl/>
        </w:rPr>
        <w:t>י</w:t>
      </w:r>
      <w:r>
        <w:rPr>
          <w:rtl/>
        </w:rPr>
        <w:t xml:space="preserve">א ליזום </w:t>
      </w:r>
      <w:bookmarkStart w:id="35" w:name="OLE_LINK5"/>
      <w:bookmarkStart w:id="36" w:name="OLE_LINK6"/>
      <w:r>
        <w:rPr>
          <w:b/>
          <w:bCs/>
          <w:rtl/>
        </w:rPr>
        <w:t xml:space="preserve">פניה </w:t>
      </w:r>
      <w:r w:rsidR="00F5197D">
        <w:rPr>
          <w:rFonts w:hint="cs"/>
          <w:b/>
          <w:bCs/>
          <w:rtl/>
        </w:rPr>
        <w:t>לחשב הכללי</w:t>
      </w:r>
      <w:r>
        <w:rPr>
          <w:rFonts w:hint="cs"/>
          <w:b/>
          <w:bCs/>
          <w:rtl/>
        </w:rPr>
        <w:t xml:space="preserve"> או למשרד האוצר</w:t>
      </w:r>
      <w:bookmarkEnd w:id="35"/>
      <w:bookmarkEnd w:id="36"/>
      <w:r w:rsidR="00F5197D">
        <w:rPr>
          <w:rStyle w:val="a4"/>
          <w:b/>
          <w:bCs/>
          <w:rtl/>
        </w:rPr>
        <w:footnoteReference w:id="51"/>
      </w:r>
      <w:r>
        <w:rPr>
          <w:rFonts w:hint="cs"/>
          <w:b/>
          <w:bCs/>
          <w:rtl/>
        </w:rPr>
        <w:t xml:space="preserve"> </w:t>
      </w:r>
      <w:r w:rsidRPr="00535DE8">
        <w:rPr>
          <w:rFonts w:hint="cs"/>
          <w:rtl/>
        </w:rPr>
        <w:t xml:space="preserve">כדי שיפעילו את סמכותם לשנות או לבטל את ההנחיה. </w:t>
      </w:r>
      <w:r w:rsidRPr="00535DE8">
        <w:rPr>
          <w:rtl/>
        </w:rPr>
        <w:t>הפניה תפרט את ההשגות של העמו</w:t>
      </w:r>
      <w:r>
        <w:rPr>
          <w:rtl/>
        </w:rPr>
        <w:t>תה ב</w:t>
      </w:r>
      <w:r>
        <w:rPr>
          <w:rFonts w:hint="cs"/>
          <w:rtl/>
        </w:rPr>
        <w:t>כל הנוגע להשלכות בעניין</w:t>
      </w:r>
      <w:r>
        <w:rPr>
          <w:rtl/>
        </w:rPr>
        <w:t xml:space="preserve"> איכות הסביבה</w:t>
      </w:r>
      <w:r>
        <w:rPr>
          <w:rFonts w:hint="cs"/>
          <w:rtl/>
        </w:rPr>
        <w:t>,</w:t>
      </w:r>
      <w:r>
        <w:rPr>
          <w:rtl/>
        </w:rPr>
        <w:t xml:space="preserve"> </w:t>
      </w:r>
      <w:r>
        <w:rPr>
          <w:rFonts w:hint="cs"/>
          <w:rtl/>
        </w:rPr>
        <w:t xml:space="preserve">תוך כדי הבהרת </w:t>
      </w:r>
      <w:r>
        <w:rPr>
          <w:rtl/>
        </w:rPr>
        <w:t xml:space="preserve">התמריץ </w:t>
      </w:r>
      <w:r>
        <w:rPr>
          <w:rFonts w:hint="cs"/>
          <w:rtl/>
        </w:rPr>
        <w:t>לשימוש ברכבים שנובע כיום מההוראה (יתכן ומבלי משים)</w:t>
      </w:r>
      <w:r>
        <w:rPr>
          <w:rtl/>
        </w:rPr>
        <w:t>, ו</w:t>
      </w:r>
      <w:r>
        <w:rPr>
          <w:rFonts w:hint="cs"/>
          <w:rtl/>
        </w:rPr>
        <w:t>כן כדאי להציע</w:t>
      </w:r>
      <w:r>
        <w:rPr>
          <w:rtl/>
        </w:rPr>
        <w:t xml:space="preserve"> </w:t>
      </w:r>
      <w:r>
        <w:rPr>
          <w:rFonts w:hint="cs"/>
          <w:rtl/>
        </w:rPr>
        <w:t>אפשרות יעילה אלטרנטיבית, תוך בחינת כל היבטיה</w:t>
      </w:r>
      <w:r>
        <w:rPr>
          <w:rtl/>
        </w:rPr>
        <w:t>.</w:t>
      </w:r>
      <w:r>
        <w:rPr>
          <w:rFonts w:hint="cs"/>
          <w:rtl/>
        </w:rPr>
        <w:t xml:space="preserve"> </w:t>
      </w:r>
    </w:p>
    <w:p w:rsidR="00C350B9" w:rsidRDefault="00C350B9" w:rsidP="00C350B9">
      <w:pPr>
        <w:spacing w:line="480" w:lineRule="auto"/>
        <w:jc w:val="both"/>
        <w:rPr>
          <w:rFonts w:hint="cs"/>
          <w:rtl/>
        </w:rPr>
      </w:pPr>
      <w:r>
        <w:rPr>
          <w:rFonts w:hint="cs"/>
          <w:rtl/>
        </w:rPr>
        <w:t>ראוי לציין בהקשר זה כי אף החשב הכללי, בחוזריו, מוסיף פעמים רבות את הביטוי "כפי שיהיה מעת לעת", דהיינו מותיר פתח לשינוי כפי השתנות הנסיבות למשל.</w:t>
      </w:r>
    </w:p>
    <w:p w:rsidR="007773B1" w:rsidRDefault="007773B1" w:rsidP="00C350B9">
      <w:pPr>
        <w:spacing w:line="480" w:lineRule="auto"/>
        <w:jc w:val="both"/>
        <w:rPr>
          <w:rFonts w:hint="cs"/>
          <w:rtl/>
        </w:rPr>
      </w:pPr>
    </w:p>
    <w:p w:rsidR="00C350B9" w:rsidRPr="00B07028" w:rsidRDefault="00C350B9" w:rsidP="00C350B9">
      <w:pPr>
        <w:spacing w:line="480" w:lineRule="auto"/>
        <w:jc w:val="both"/>
        <w:rPr>
          <w:rFonts w:hint="cs"/>
          <w:rtl/>
        </w:rPr>
      </w:pPr>
      <w:r>
        <w:rPr>
          <w:rFonts w:hint="cs"/>
          <w:rtl/>
        </w:rPr>
        <w:t>נרחיב את היריעה בכל הנוגע ל</w:t>
      </w:r>
      <w:r>
        <w:rPr>
          <w:rFonts w:hint="eastAsia"/>
          <w:u w:val="single"/>
          <w:rtl/>
        </w:rPr>
        <w:t>שינוי</w:t>
      </w:r>
      <w:r>
        <w:rPr>
          <w:u w:val="single"/>
          <w:rtl/>
        </w:rPr>
        <w:t xml:space="preserve"> וביטול </w:t>
      </w:r>
      <w:r>
        <w:rPr>
          <w:rFonts w:hint="eastAsia"/>
          <w:u w:val="single"/>
          <w:rtl/>
        </w:rPr>
        <w:t>הנחיות</w:t>
      </w:r>
      <w:r>
        <w:rPr>
          <w:u w:val="single"/>
          <w:rtl/>
        </w:rPr>
        <w:t xml:space="preserve"> מנהליות ע"</w:t>
      </w:r>
      <w:r>
        <w:rPr>
          <w:rFonts w:hint="eastAsia"/>
          <w:u w:val="single"/>
          <w:rtl/>
        </w:rPr>
        <w:t>י</w:t>
      </w:r>
      <w:r>
        <w:rPr>
          <w:u w:val="single"/>
          <w:rtl/>
        </w:rPr>
        <w:t xml:space="preserve"> הרשויות:</w:t>
      </w:r>
    </w:p>
    <w:p w:rsidR="00C350B9" w:rsidRDefault="00C350B9" w:rsidP="00C645CF">
      <w:pPr>
        <w:spacing w:line="480" w:lineRule="auto"/>
        <w:jc w:val="both"/>
        <w:rPr>
          <w:rFonts w:hint="cs"/>
          <w:rtl/>
        </w:rPr>
      </w:pPr>
      <w:r>
        <w:rPr>
          <w:rtl/>
        </w:rPr>
        <w:t>"</w:t>
      </w:r>
      <w:r>
        <w:rPr>
          <w:rFonts w:hint="eastAsia"/>
          <w:rtl/>
        </w:rPr>
        <w:t>רשות</w:t>
      </w:r>
      <w:r>
        <w:rPr>
          <w:rtl/>
        </w:rPr>
        <w:t xml:space="preserve"> </w:t>
      </w:r>
      <w:r>
        <w:rPr>
          <w:rFonts w:hint="eastAsia"/>
          <w:rtl/>
        </w:rPr>
        <w:t>מנהלית</w:t>
      </w:r>
      <w:r>
        <w:rPr>
          <w:rtl/>
        </w:rPr>
        <w:t xml:space="preserve"> שקבעה הנחיות רשאית לתקנן, לשנותן ולבטלן, מבחינה זו דינן של ההנחיות כדינן </w:t>
      </w:r>
      <w:r>
        <w:rPr>
          <w:rFonts w:hint="eastAsia"/>
          <w:rtl/>
        </w:rPr>
        <w:t>של</w:t>
      </w:r>
      <w:r>
        <w:rPr>
          <w:rtl/>
        </w:rPr>
        <w:t xml:space="preserve"> תקנות</w:t>
      </w:r>
      <w:r w:rsidR="00C645CF">
        <w:rPr>
          <w:rFonts w:hint="cs"/>
          <w:rtl/>
        </w:rPr>
        <w:t>,</w:t>
      </w:r>
      <w:r>
        <w:rPr>
          <w:rtl/>
        </w:rPr>
        <w:t xml:space="preserve"> והסמכות לשינו</w:t>
      </w:r>
      <w:r w:rsidR="00C645CF">
        <w:rPr>
          <w:rFonts w:hint="cs"/>
          <w:rtl/>
        </w:rPr>
        <w:t>י</w:t>
      </w:r>
      <w:r>
        <w:rPr>
          <w:rtl/>
        </w:rPr>
        <w:t xml:space="preserve"> ולביטול נובעת מהסמכות הכללית הקבועה בסע' 15 לחוק הפרשנות, </w:t>
      </w:r>
      <w:r>
        <w:rPr>
          <w:rFonts w:hint="eastAsia"/>
          <w:rtl/>
        </w:rPr>
        <w:t>התשמ</w:t>
      </w:r>
      <w:r>
        <w:rPr>
          <w:rtl/>
        </w:rPr>
        <w:t>"</w:t>
      </w:r>
      <w:r>
        <w:rPr>
          <w:rFonts w:hint="eastAsia"/>
          <w:rtl/>
        </w:rPr>
        <w:t>א</w:t>
      </w:r>
      <w:r>
        <w:rPr>
          <w:rtl/>
        </w:rPr>
        <w:t>- 1981:</w:t>
      </w:r>
      <w:r>
        <w:rPr>
          <w:rStyle w:val="a4"/>
          <w:rtl/>
        </w:rPr>
        <w:footnoteReference w:id="52"/>
      </w:r>
      <w:r w:rsidR="00C645CF">
        <w:rPr>
          <w:rFonts w:hint="cs"/>
          <w:rtl/>
        </w:rPr>
        <w:t>"</w:t>
      </w:r>
    </w:p>
    <w:p w:rsidR="00C350B9" w:rsidRPr="00457365" w:rsidRDefault="00C350B9" w:rsidP="00C350B9">
      <w:pPr>
        <w:spacing w:line="480" w:lineRule="auto"/>
        <w:jc w:val="both"/>
        <w:rPr>
          <w:i/>
          <w:iCs/>
          <w:rtl/>
        </w:rPr>
      </w:pPr>
      <w:r w:rsidRPr="00457365">
        <w:rPr>
          <w:rFonts w:hint="cs"/>
          <w:i/>
          <w:iCs/>
          <w:rtl/>
        </w:rPr>
        <w:t xml:space="preserve">   </w:t>
      </w:r>
      <w:r w:rsidRPr="00457365">
        <w:rPr>
          <w:rFonts w:hint="cs"/>
          <w:i/>
          <w:iCs/>
          <w:rtl/>
        </w:rPr>
        <w:tab/>
        <w:t>15</w:t>
      </w:r>
      <w:r w:rsidRPr="00457365">
        <w:rPr>
          <w:i/>
          <w:iCs/>
          <w:rtl/>
        </w:rPr>
        <w:t xml:space="preserve">. סמכות התקנה </w:t>
      </w:r>
    </w:p>
    <w:p w:rsidR="00C350B9" w:rsidRPr="00457365" w:rsidRDefault="00C350B9" w:rsidP="00C350B9">
      <w:pPr>
        <w:spacing w:line="480" w:lineRule="auto"/>
        <w:ind w:left="720" w:right="720"/>
        <w:jc w:val="both"/>
        <w:rPr>
          <w:i/>
          <w:iCs/>
          <w:rtl/>
        </w:rPr>
      </w:pPr>
      <w:r w:rsidRPr="00457365">
        <w:rPr>
          <w:rFonts w:hint="eastAsia"/>
          <w:i/>
          <w:iCs/>
          <w:rtl/>
        </w:rPr>
        <w:t>הסמכה</w:t>
      </w:r>
      <w:r w:rsidRPr="00457365">
        <w:rPr>
          <w:i/>
          <w:iCs/>
          <w:rtl/>
        </w:rPr>
        <w:t xml:space="preserve"> להתקין </w:t>
      </w:r>
      <w:r w:rsidRPr="00457365">
        <w:rPr>
          <w:rFonts w:hint="eastAsia"/>
          <w:i/>
          <w:iCs/>
          <w:rtl/>
        </w:rPr>
        <w:t>תקנות</w:t>
      </w:r>
      <w:r w:rsidRPr="00457365">
        <w:rPr>
          <w:i/>
          <w:iCs/>
          <w:rtl/>
        </w:rPr>
        <w:t xml:space="preserve"> או ליתן הוראת מינהל - משמעה גם הסמכה לתקנן, לשנותן, להתלותן או לבטלן בדרך </w:t>
      </w:r>
      <w:r w:rsidRPr="00457365">
        <w:rPr>
          <w:rFonts w:hint="eastAsia"/>
          <w:i/>
          <w:iCs/>
          <w:rtl/>
        </w:rPr>
        <w:t>שהותקנו</w:t>
      </w:r>
      <w:r w:rsidRPr="00457365">
        <w:rPr>
          <w:i/>
          <w:iCs/>
          <w:rtl/>
        </w:rPr>
        <w:t xml:space="preserve"> התקנות או ניתנה ההוראה.</w:t>
      </w:r>
    </w:p>
    <w:p w:rsidR="00C350B9" w:rsidRDefault="00C350B9" w:rsidP="00C350B9">
      <w:pPr>
        <w:spacing w:line="480" w:lineRule="auto"/>
        <w:jc w:val="both"/>
        <w:rPr>
          <w:rFonts w:hint="cs"/>
          <w:rtl/>
        </w:rPr>
      </w:pPr>
    </w:p>
    <w:p w:rsidR="00C350B9" w:rsidRDefault="00C350B9" w:rsidP="00C350B9">
      <w:pPr>
        <w:spacing w:line="480" w:lineRule="auto"/>
        <w:jc w:val="both"/>
        <w:rPr>
          <w:rtl/>
        </w:rPr>
      </w:pPr>
      <w:r>
        <w:rPr>
          <w:rFonts w:hint="eastAsia"/>
          <w:rtl/>
        </w:rPr>
        <w:t>סמכות</w:t>
      </w:r>
      <w:r>
        <w:rPr>
          <w:rtl/>
        </w:rPr>
        <w:t xml:space="preserve"> הרשות </w:t>
      </w:r>
      <w:r>
        <w:rPr>
          <w:rFonts w:hint="eastAsia"/>
          <w:rtl/>
        </w:rPr>
        <w:t>לשנות</w:t>
      </w:r>
      <w:r>
        <w:rPr>
          <w:rtl/>
        </w:rPr>
        <w:t xml:space="preserve"> או לבטל הנחיות מנהליות כפופה לכללים החלים על כל מעשה מנהלי</w:t>
      </w:r>
      <w:r w:rsidR="00C645CF">
        <w:rPr>
          <w:rFonts w:hint="cs"/>
          <w:rtl/>
        </w:rPr>
        <w:t>,</w:t>
      </w:r>
      <w:r>
        <w:rPr>
          <w:rtl/>
        </w:rPr>
        <w:t xml:space="preserve"> ולכן השינוי </w:t>
      </w:r>
      <w:r>
        <w:rPr>
          <w:rFonts w:hint="eastAsia"/>
          <w:rtl/>
        </w:rPr>
        <w:t>צריך</w:t>
      </w:r>
      <w:r>
        <w:rPr>
          <w:rtl/>
        </w:rPr>
        <w:t xml:space="preserve"> להיעשות למטרה שלשמה הוטלה הסמכות, תוך הפעלת שיקולים עניינים, ובסבירות.</w:t>
      </w:r>
    </w:p>
    <w:p w:rsidR="00C350B9" w:rsidRDefault="00C350B9" w:rsidP="00C350B9">
      <w:pPr>
        <w:spacing w:line="480" w:lineRule="auto"/>
        <w:jc w:val="both"/>
        <w:rPr>
          <w:rFonts w:hint="cs"/>
          <w:rtl/>
        </w:rPr>
      </w:pPr>
      <w:r>
        <w:rPr>
          <w:rFonts w:hint="eastAsia"/>
          <w:rtl/>
        </w:rPr>
        <w:t>ראה</w:t>
      </w:r>
      <w:r>
        <w:rPr>
          <w:rtl/>
        </w:rPr>
        <w:t xml:space="preserve"> </w:t>
      </w:r>
      <w:r>
        <w:rPr>
          <w:rFonts w:hint="eastAsia"/>
          <w:rtl/>
        </w:rPr>
        <w:t>גם</w:t>
      </w:r>
      <w:r>
        <w:rPr>
          <w:rtl/>
        </w:rPr>
        <w:t xml:space="preserve"> דברי השופט ברק: "</w:t>
      </w:r>
      <w:r>
        <w:rPr>
          <w:rFonts w:hint="eastAsia"/>
          <w:rtl/>
        </w:rPr>
        <w:t>סטייה</w:t>
      </w:r>
      <w:r>
        <w:rPr>
          <w:rtl/>
        </w:rPr>
        <w:t xml:space="preserve"> מהנחיות פנימיות, </w:t>
      </w:r>
      <w:r>
        <w:rPr>
          <w:rFonts w:hint="eastAsia"/>
          <w:rtl/>
        </w:rPr>
        <w:t>אף</w:t>
      </w:r>
      <w:r>
        <w:rPr>
          <w:rtl/>
        </w:rPr>
        <w:t xml:space="preserve"> שאפשרית היא, הרי גוררת היא עמה פגיעה בציפיות סבירות של בני הציבור, מכאן </w:t>
      </w:r>
      <w:r>
        <w:rPr>
          <w:rFonts w:hint="eastAsia"/>
          <w:rtl/>
        </w:rPr>
        <w:t>ההלכה</w:t>
      </w:r>
      <w:r>
        <w:rPr>
          <w:rtl/>
        </w:rPr>
        <w:t xml:space="preserve">, כי רק שיקולים ענייניים-סבירים יש בהם כדי להצדיק סטייה של רשות מינהלית </w:t>
      </w:r>
      <w:r>
        <w:rPr>
          <w:rFonts w:hint="eastAsia"/>
          <w:rtl/>
        </w:rPr>
        <w:t>מהנחיות</w:t>
      </w:r>
      <w:r>
        <w:rPr>
          <w:rtl/>
        </w:rPr>
        <w:t xml:space="preserve"> פנימיות, שקבעה לעצמה</w:t>
      </w:r>
      <w:r>
        <w:rPr>
          <w:rStyle w:val="a4"/>
          <w:rtl/>
        </w:rPr>
        <w:footnoteReference w:id="53"/>
      </w:r>
      <w:r>
        <w:rPr>
          <w:rtl/>
        </w:rPr>
        <w:t xml:space="preserve"> "</w:t>
      </w:r>
      <w:r>
        <w:rPr>
          <w:rFonts w:hint="cs"/>
          <w:rtl/>
        </w:rPr>
        <w:t>.</w:t>
      </w:r>
    </w:p>
    <w:p w:rsidR="00C350B9" w:rsidRDefault="00C350B9" w:rsidP="00C350B9">
      <w:pPr>
        <w:spacing w:line="480" w:lineRule="auto"/>
        <w:jc w:val="both"/>
        <w:rPr>
          <w:rFonts w:hint="cs"/>
          <w:rtl/>
        </w:rPr>
      </w:pPr>
    </w:p>
    <w:p w:rsidR="00C350B9" w:rsidRDefault="00C350B9" w:rsidP="00C350B9">
      <w:pPr>
        <w:spacing w:line="480" w:lineRule="auto"/>
        <w:jc w:val="both"/>
        <w:rPr>
          <w:rFonts w:hint="cs"/>
          <w:rtl/>
        </w:rPr>
      </w:pPr>
      <w:r>
        <w:rPr>
          <w:rFonts w:hint="cs"/>
          <w:rtl/>
        </w:rPr>
        <w:t>בנוסף לכך, שינוי ההנחיות לא יכול להעשות למפרע ולהשפיע על פעולות פרטים שפעלו לפי המדיניות הקודמת.  יש איסור שינוי רטרואקטיבי</w:t>
      </w:r>
      <w:r>
        <w:rPr>
          <w:rStyle w:val="a4"/>
          <w:rtl/>
        </w:rPr>
        <w:footnoteReference w:id="54"/>
      </w:r>
      <w:r>
        <w:rPr>
          <w:rFonts w:hint="cs"/>
          <w:rtl/>
        </w:rPr>
        <w:t>.</w:t>
      </w:r>
    </w:p>
    <w:p w:rsidR="00C350B9" w:rsidRDefault="00C350B9" w:rsidP="00C350B9">
      <w:pPr>
        <w:spacing w:line="480" w:lineRule="auto"/>
        <w:jc w:val="both"/>
        <w:rPr>
          <w:rFonts w:hint="cs"/>
          <w:rtl/>
        </w:rPr>
      </w:pPr>
    </w:p>
    <w:p w:rsidR="00C350B9" w:rsidRDefault="00C350B9" w:rsidP="00C350B9">
      <w:pPr>
        <w:spacing w:line="480" w:lineRule="auto"/>
        <w:jc w:val="both"/>
        <w:rPr>
          <w:rFonts w:hint="cs"/>
          <w:rtl/>
        </w:rPr>
      </w:pPr>
      <w:r>
        <w:rPr>
          <w:rFonts w:hint="cs"/>
          <w:rtl/>
        </w:rPr>
        <w:t xml:space="preserve">לעומת זאת, </w:t>
      </w:r>
      <w:r>
        <w:rPr>
          <w:rtl/>
        </w:rPr>
        <w:t xml:space="preserve">משניתנה הטבה, אין לו לאזרח חזקה או זכות קנויה במצב הקיים, ואין לשום אדם זכות קנויה, שמדיניות כלכלית מסוימת, הנוחה לו, תימשך. על-כן רשאי המינהל בכל עת לשנות את מדיניותו. </w:t>
      </w:r>
      <w:r>
        <w:rPr>
          <w:rFonts w:hint="cs"/>
          <w:rtl/>
        </w:rPr>
        <w:t xml:space="preserve">ראוי לציין כי </w:t>
      </w:r>
      <w:r>
        <w:rPr>
          <w:rtl/>
        </w:rPr>
        <w:t xml:space="preserve">זכותו של האזרח היא, </w:t>
      </w:r>
      <w:r>
        <w:rPr>
          <w:rFonts w:hint="cs"/>
          <w:rtl/>
        </w:rPr>
        <w:t>ש</w:t>
      </w:r>
      <w:r>
        <w:rPr>
          <w:rtl/>
        </w:rPr>
        <w:t>ביטול ההטבה שניתנה לו</w:t>
      </w:r>
      <w:r>
        <w:rPr>
          <w:rFonts w:hint="cs"/>
          <w:rtl/>
        </w:rPr>
        <w:t xml:space="preserve"> או הייתה אמורה להינתן לו,</w:t>
      </w:r>
      <w:r>
        <w:rPr>
          <w:rtl/>
        </w:rPr>
        <w:t xml:space="preserve"> ייעשה על-פי הכללים המשפטיים, המכוונים את הפעלת שיקול הדעת המנהלי</w:t>
      </w:r>
      <w:r>
        <w:rPr>
          <w:rStyle w:val="a4"/>
          <w:rtl/>
        </w:rPr>
        <w:footnoteReference w:id="55"/>
      </w:r>
      <w:r>
        <w:rPr>
          <w:rFonts w:hint="cs"/>
          <w:rtl/>
        </w:rPr>
        <w:t>.</w:t>
      </w:r>
    </w:p>
    <w:p w:rsidR="00C350B9" w:rsidRDefault="00C350B9" w:rsidP="00C350B9">
      <w:pPr>
        <w:spacing w:line="480" w:lineRule="auto"/>
        <w:jc w:val="both"/>
        <w:rPr>
          <w:rFonts w:hint="cs"/>
          <w:rtl/>
        </w:rPr>
      </w:pPr>
    </w:p>
    <w:p w:rsidR="00C350B9" w:rsidRDefault="00C350B9" w:rsidP="00C350B9">
      <w:pPr>
        <w:spacing w:line="480" w:lineRule="auto"/>
        <w:jc w:val="both"/>
        <w:rPr>
          <w:rFonts w:hint="cs"/>
          <w:rtl/>
        </w:rPr>
      </w:pPr>
      <w:r>
        <w:rPr>
          <w:rFonts w:hint="cs"/>
          <w:rtl/>
        </w:rPr>
        <w:t>על כן, העמותה תוכל לטעון ולפרט כי</w:t>
      </w:r>
      <w:r>
        <w:rPr>
          <w:rtl/>
        </w:rPr>
        <w:t xml:space="preserve"> </w:t>
      </w:r>
      <w:r>
        <w:rPr>
          <w:rFonts w:hint="cs"/>
          <w:rtl/>
        </w:rPr>
        <w:t>במקרה דנן</w:t>
      </w:r>
      <w:r>
        <w:rPr>
          <w:rtl/>
        </w:rPr>
        <w:t xml:space="preserve"> קיימת הצדקה עניינית וסבירה לשנות את ה</w:t>
      </w:r>
      <w:r>
        <w:rPr>
          <w:rFonts w:hint="cs"/>
          <w:rtl/>
        </w:rPr>
        <w:t>הוראה</w:t>
      </w:r>
      <w:r w:rsidR="00C645CF">
        <w:rPr>
          <w:rFonts w:hint="cs"/>
          <w:rtl/>
        </w:rPr>
        <w:t>, לאור כל האמור לעיל ולאור טענות סביבתיות שיועלו ע"י העמותה</w:t>
      </w:r>
      <w:r>
        <w:rPr>
          <w:rFonts w:hint="cs"/>
          <w:rtl/>
        </w:rPr>
        <w:t xml:space="preserve">. באם ישתכנעו הרשויות </w:t>
      </w:r>
      <w:r>
        <w:rPr>
          <w:rtl/>
        </w:rPr>
        <w:t>–</w:t>
      </w:r>
      <w:r>
        <w:rPr>
          <w:rFonts w:hint="cs"/>
          <w:rtl/>
        </w:rPr>
        <w:t xml:space="preserve"> יהיה בידיהן לשנות את ההוראה.</w:t>
      </w:r>
      <w:r>
        <w:rPr>
          <w:rtl/>
        </w:rPr>
        <w:t xml:space="preserve"> </w:t>
      </w:r>
    </w:p>
    <w:p w:rsidR="00C350B9" w:rsidRDefault="00C350B9" w:rsidP="00C350B9">
      <w:pPr>
        <w:spacing w:line="480" w:lineRule="auto"/>
        <w:jc w:val="both"/>
        <w:rPr>
          <w:rFonts w:hint="cs"/>
          <w:rtl/>
        </w:rPr>
      </w:pPr>
      <w:r>
        <w:rPr>
          <w:rFonts w:hint="eastAsia"/>
          <w:rtl/>
        </w:rPr>
        <w:t>במידה</w:t>
      </w:r>
      <w:r>
        <w:rPr>
          <w:rtl/>
        </w:rPr>
        <w:t xml:space="preserve"> והפניה </w:t>
      </w:r>
      <w:r>
        <w:rPr>
          <w:rFonts w:hint="eastAsia"/>
          <w:rtl/>
        </w:rPr>
        <w:t>תענה</w:t>
      </w:r>
      <w:r>
        <w:rPr>
          <w:rtl/>
        </w:rPr>
        <w:t xml:space="preserve"> בשלילה</w:t>
      </w:r>
      <w:r>
        <w:rPr>
          <w:rFonts w:hint="cs"/>
          <w:rtl/>
        </w:rPr>
        <w:t>,</w:t>
      </w:r>
      <w:r>
        <w:rPr>
          <w:rtl/>
        </w:rPr>
        <w:t xml:space="preserve"> יש לנסות ולפנות </w:t>
      </w:r>
      <w:r w:rsidRPr="00FB2793">
        <w:rPr>
          <w:rtl/>
        </w:rPr>
        <w:t>ל</w:t>
      </w:r>
      <w:r>
        <w:rPr>
          <w:b/>
          <w:bCs/>
          <w:rtl/>
        </w:rPr>
        <w:t>גורמים נוספים</w:t>
      </w:r>
      <w:r>
        <w:rPr>
          <w:rtl/>
        </w:rPr>
        <w:t xml:space="preserve"> שיכול ותהיה להם נגיעה לעניין</w:t>
      </w:r>
      <w:r>
        <w:rPr>
          <w:rFonts w:hint="cs"/>
          <w:rtl/>
        </w:rPr>
        <w:t>, כגון:</w:t>
      </w:r>
      <w:r>
        <w:rPr>
          <w:rtl/>
        </w:rPr>
        <w:t xml:space="preserve"> השר </w:t>
      </w:r>
      <w:r>
        <w:rPr>
          <w:rFonts w:hint="eastAsia"/>
          <w:rtl/>
        </w:rPr>
        <w:t>לאיכות</w:t>
      </w:r>
      <w:r>
        <w:rPr>
          <w:rtl/>
        </w:rPr>
        <w:t xml:space="preserve"> הסביבה, </w:t>
      </w:r>
      <w:r>
        <w:rPr>
          <w:rFonts w:hint="cs"/>
          <w:rtl/>
        </w:rPr>
        <w:t xml:space="preserve">שר התחבורה, </w:t>
      </w:r>
      <w:r>
        <w:rPr>
          <w:rtl/>
        </w:rPr>
        <w:t>וכד'.</w:t>
      </w:r>
    </w:p>
    <w:p w:rsidR="00C350B9" w:rsidRDefault="00C350B9" w:rsidP="00C350B9">
      <w:pPr>
        <w:spacing w:line="480" w:lineRule="auto"/>
        <w:jc w:val="both"/>
        <w:rPr>
          <w:rFonts w:hint="cs"/>
          <w:rtl/>
        </w:rPr>
      </w:pPr>
    </w:p>
    <w:p w:rsidR="00C350B9" w:rsidRDefault="00AD0AA9" w:rsidP="00AD0AA9">
      <w:pPr>
        <w:pStyle w:val="2"/>
        <w:rPr>
          <w:rFonts w:hint="cs"/>
          <w:rtl/>
        </w:rPr>
      </w:pPr>
      <w:bookmarkStart w:id="37" w:name="_Toc144716287"/>
      <w:r>
        <w:rPr>
          <w:rFonts w:hint="cs"/>
          <w:rtl/>
        </w:rPr>
        <w:t>פנייה לערכאות שיפוטיות</w:t>
      </w:r>
      <w:bookmarkEnd w:id="37"/>
    </w:p>
    <w:p w:rsidR="00C350B9" w:rsidRDefault="00C350B9" w:rsidP="00AD0AA9">
      <w:pPr>
        <w:spacing w:line="480" w:lineRule="auto"/>
        <w:jc w:val="both"/>
        <w:rPr>
          <w:rFonts w:hint="cs"/>
          <w:rtl/>
        </w:rPr>
      </w:pPr>
      <w:r>
        <w:rPr>
          <w:rFonts w:hint="cs"/>
          <w:rtl/>
        </w:rPr>
        <w:t>במידה</w:t>
      </w:r>
      <w:r>
        <w:rPr>
          <w:rtl/>
        </w:rPr>
        <w:t xml:space="preserve"> </w:t>
      </w:r>
      <w:r>
        <w:rPr>
          <w:rFonts w:hint="cs"/>
          <w:rtl/>
        </w:rPr>
        <w:t>ו</w:t>
      </w:r>
      <w:r>
        <w:rPr>
          <w:rtl/>
        </w:rPr>
        <w:t xml:space="preserve">דרך זו </w:t>
      </w:r>
      <w:r>
        <w:rPr>
          <w:rFonts w:hint="eastAsia"/>
          <w:rtl/>
        </w:rPr>
        <w:t>לא</w:t>
      </w:r>
      <w:r>
        <w:rPr>
          <w:rtl/>
        </w:rPr>
        <w:t xml:space="preserve"> תצלח</w:t>
      </w:r>
      <w:r>
        <w:rPr>
          <w:rFonts w:hint="cs"/>
          <w:rtl/>
        </w:rPr>
        <w:t xml:space="preserve"> </w:t>
      </w:r>
      <w:r>
        <w:rPr>
          <w:b/>
          <w:bCs/>
          <w:rtl/>
        </w:rPr>
        <w:t>יש לשקול פניה לערכאות שיפוטיות</w:t>
      </w:r>
      <w:r>
        <w:rPr>
          <w:rFonts w:hint="cs"/>
          <w:rtl/>
        </w:rPr>
        <w:t>. עם זאת חשוב לזכור,</w:t>
      </w:r>
      <w:r>
        <w:rPr>
          <w:rtl/>
        </w:rPr>
        <w:t xml:space="preserve"> </w:t>
      </w:r>
      <w:r>
        <w:rPr>
          <w:rFonts w:hint="cs"/>
          <w:rtl/>
        </w:rPr>
        <w:t>ש</w:t>
      </w:r>
      <w:r>
        <w:rPr>
          <w:rtl/>
        </w:rPr>
        <w:t xml:space="preserve">הפניה לרשויות מהווה תנאי סף לפני הגשת </w:t>
      </w:r>
      <w:r>
        <w:rPr>
          <w:rFonts w:hint="eastAsia"/>
          <w:rtl/>
        </w:rPr>
        <w:t>עתירה</w:t>
      </w:r>
      <w:r>
        <w:rPr>
          <w:rFonts w:hint="cs"/>
          <w:rtl/>
        </w:rPr>
        <w:t>, שכן</w:t>
      </w:r>
      <w:r>
        <w:rPr>
          <w:rtl/>
        </w:rPr>
        <w:t xml:space="preserve"> </w:t>
      </w:r>
      <w:r>
        <w:rPr>
          <w:rFonts w:hint="cs"/>
          <w:rtl/>
        </w:rPr>
        <w:t xml:space="preserve">קיימת </w:t>
      </w:r>
      <w:r>
        <w:rPr>
          <w:rtl/>
        </w:rPr>
        <w:t>דרישה של בתי המשפט למיצוי הליכים מול הרשויות המוסמכות.</w:t>
      </w:r>
      <w:r>
        <w:rPr>
          <w:rFonts w:hint="cs"/>
          <w:rtl/>
        </w:rPr>
        <w:t xml:space="preserve"> הערכאה השיפוטית המוסמכת לדון בעניין זה הינה בית המשפט המחוזי, בשבתו כבית משפט לעניינים מנהליים</w:t>
      </w:r>
      <w:r>
        <w:rPr>
          <w:rStyle w:val="a4"/>
          <w:rtl/>
        </w:rPr>
        <w:footnoteReference w:id="56"/>
      </w:r>
      <w:r>
        <w:rPr>
          <w:rFonts w:hint="cs"/>
          <w:rtl/>
        </w:rPr>
        <w:t>.</w:t>
      </w:r>
    </w:p>
    <w:p w:rsidR="00C350B9" w:rsidRDefault="00C350B9" w:rsidP="00C350B9">
      <w:pPr>
        <w:spacing w:line="480" w:lineRule="auto"/>
        <w:jc w:val="both"/>
        <w:rPr>
          <w:rFonts w:hint="cs"/>
          <w:rtl/>
        </w:rPr>
      </w:pPr>
      <w:r>
        <w:rPr>
          <w:rFonts w:hint="cs"/>
          <w:rtl/>
        </w:rPr>
        <w:t xml:space="preserve">כאמור לעיל, </w:t>
      </w:r>
      <w:r>
        <w:rPr>
          <w:rtl/>
        </w:rPr>
        <w:t xml:space="preserve">מעמדן </w:t>
      </w:r>
      <w:r>
        <w:rPr>
          <w:rFonts w:hint="eastAsia"/>
          <w:rtl/>
        </w:rPr>
        <w:t>של</w:t>
      </w:r>
      <w:r>
        <w:rPr>
          <w:rtl/>
        </w:rPr>
        <w:t xml:space="preserve"> ה</w:t>
      </w:r>
      <w:r>
        <w:rPr>
          <w:rFonts w:hint="cs"/>
          <w:rtl/>
        </w:rPr>
        <w:t>וראות החשב הכללי</w:t>
      </w:r>
      <w:r>
        <w:rPr>
          <w:rtl/>
        </w:rPr>
        <w:t xml:space="preserve"> </w:t>
      </w:r>
      <w:r>
        <w:rPr>
          <w:rFonts w:hint="cs"/>
          <w:rtl/>
        </w:rPr>
        <w:t xml:space="preserve">מבחינה משפטית הוא </w:t>
      </w:r>
      <w:r>
        <w:rPr>
          <w:rtl/>
        </w:rPr>
        <w:t>כמעמד הפעלת שיקול דעת אינדיבידואלי</w:t>
      </w:r>
      <w:r>
        <w:rPr>
          <w:rFonts w:hint="cs"/>
          <w:rtl/>
        </w:rPr>
        <w:t>.</w:t>
      </w:r>
      <w:r>
        <w:rPr>
          <w:rtl/>
        </w:rPr>
        <w:t xml:space="preserve"> לפיכך</w:t>
      </w:r>
      <w:r>
        <w:rPr>
          <w:rFonts w:hint="cs"/>
          <w:rtl/>
        </w:rPr>
        <w:t>,</w:t>
      </w:r>
      <w:r>
        <w:rPr>
          <w:rtl/>
        </w:rPr>
        <w:t xml:space="preserve"> עילות הביקורת השיפוטיות על </w:t>
      </w:r>
      <w:r>
        <w:rPr>
          <w:rFonts w:hint="eastAsia"/>
          <w:rtl/>
        </w:rPr>
        <w:t>ההנחיות</w:t>
      </w:r>
      <w:r>
        <w:rPr>
          <w:rtl/>
        </w:rPr>
        <w:t xml:space="preserve"> הן זהות לעילות הביקורת המופעלות כלפי הפעלת שיקול דעת מנהלי רגיל</w:t>
      </w:r>
      <w:r>
        <w:rPr>
          <w:rFonts w:hint="cs"/>
          <w:rtl/>
        </w:rPr>
        <w:t xml:space="preserve">. </w:t>
      </w:r>
    </w:p>
    <w:p w:rsidR="00C350B9" w:rsidRDefault="00C350B9" w:rsidP="00C350B9">
      <w:pPr>
        <w:spacing w:line="480" w:lineRule="auto"/>
        <w:jc w:val="both"/>
        <w:rPr>
          <w:rFonts w:hint="cs"/>
          <w:rtl/>
        </w:rPr>
      </w:pPr>
      <w:r>
        <w:rPr>
          <w:rFonts w:hint="cs"/>
          <w:rtl/>
        </w:rPr>
        <w:t>במידה והעמותה תפנה לערכאה שיפוטית, הרי שתוכל לעשות שימוש בביקורות שהוצעו לעיל הנוגעות למעשה המנהלי, כדוגמת</w:t>
      </w:r>
      <w:r w:rsidR="00B16572">
        <w:rPr>
          <w:rFonts w:hint="cs"/>
          <w:rtl/>
        </w:rPr>
        <w:t xml:space="preserve"> פגיעה בזכות ה</w:t>
      </w:r>
      <w:r w:rsidR="000A52B1">
        <w:rPr>
          <w:rFonts w:hint="cs"/>
          <w:rtl/>
        </w:rPr>
        <w:t>שוויון</w:t>
      </w:r>
      <w:r>
        <w:rPr>
          <w:rFonts w:hint="cs"/>
          <w:rtl/>
        </w:rPr>
        <w:t xml:space="preserve"> </w:t>
      </w:r>
      <w:r w:rsidR="00B16572">
        <w:rPr>
          <w:rFonts w:hint="cs"/>
          <w:rtl/>
        </w:rPr>
        <w:t xml:space="preserve">חוסר </w:t>
      </w:r>
      <w:r>
        <w:rPr>
          <w:rFonts w:hint="cs"/>
          <w:rtl/>
        </w:rPr>
        <w:t>סבירות ומידתיות.</w:t>
      </w:r>
    </w:p>
    <w:p w:rsidR="00C350B9" w:rsidRDefault="00C350B9" w:rsidP="00C350B9">
      <w:pPr>
        <w:spacing w:line="480" w:lineRule="auto"/>
        <w:jc w:val="both"/>
        <w:rPr>
          <w:rFonts w:hint="cs"/>
          <w:rtl/>
        </w:rPr>
      </w:pPr>
      <w:r>
        <w:rPr>
          <w:rFonts w:hint="cs"/>
          <w:rtl/>
        </w:rPr>
        <w:lastRenderedPageBreak/>
        <w:t>בכל הנוגע לשאלת הסמכות,</w:t>
      </w:r>
      <w:r w:rsidR="00717BDC">
        <w:rPr>
          <w:rFonts w:hint="cs"/>
          <w:rtl/>
        </w:rPr>
        <w:t xml:space="preserve"> יתכן שקיים</w:t>
      </w:r>
      <w:r w:rsidR="00B57386">
        <w:rPr>
          <w:rFonts w:hint="cs"/>
          <w:rtl/>
        </w:rPr>
        <w:t xml:space="preserve"> פגם ב</w:t>
      </w:r>
      <w:r>
        <w:rPr>
          <w:rFonts w:hint="cs"/>
          <w:rtl/>
        </w:rPr>
        <w:t>סמכות</w:t>
      </w:r>
      <w:r w:rsidR="00B57386">
        <w:rPr>
          <w:rFonts w:hint="cs"/>
          <w:rtl/>
        </w:rPr>
        <w:t>ו של ה</w:t>
      </w:r>
      <w:r>
        <w:rPr>
          <w:rFonts w:hint="cs"/>
          <w:rtl/>
        </w:rPr>
        <w:t xml:space="preserve">חשב </w:t>
      </w:r>
      <w:r w:rsidR="00B57386">
        <w:rPr>
          <w:rFonts w:hint="cs"/>
          <w:rtl/>
        </w:rPr>
        <w:t>הכללי, במידה ואצילת הסמכויות של שר האוצר לא נעשתה כחוק. אולם, גם</w:t>
      </w:r>
      <w:r>
        <w:rPr>
          <w:rFonts w:hint="cs"/>
          <w:rtl/>
        </w:rPr>
        <w:t xml:space="preserve"> במקרה בו סמכות החשב הכללי תוטל בספק בערכאות השיפוט, שר האוצר לא יתקשה לתקן פגם פרוצדורלי זה, באם אכן נפל, ע"י מתן תקנות והוראות לפי החוק האמור לעיל. על כן אפשרות זו אינה מומלצת.</w:t>
      </w:r>
    </w:p>
    <w:p w:rsidR="00C350B9" w:rsidRDefault="00C350B9" w:rsidP="00C350B9">
      <w:pPr>
        <w:pStyle w:val="a3"/>
        <w:jc w:val="both"/>
        <w:rPr>
          <w:rFonts w:hint="cs"/>
          <w:rtl/>
        </w:rPr>
      </w:pPr>
    </w:p>
    <w:p w:rsidR="00C350B9" w:rsidRDefault="00C350B9" w:rsidP="00C350B9">
      <w:pPr>
        <w:pStyle w:val="a3"/>
        <w:jc w:val="both"/>
        <w:rPr>
          <w:rFonts w:hint="cs"/>
          <w:rtl/>
        </w:rPr>
      </w:pPr>
    </w:p>
    <w:p w:rsidR="00C350B9" w:rsidRDefault="00C350B9" w:rsidP="00C350B9">
      <w:pPr>
        <w:pStyle w:val="a3"/>
        <w:jc w:val="both"/>
        <w:rPr>
          <w:rFonts w:hint="cs"/>
          <w:rtl/>
        </w:rPr>
      </w:pPr>
    </w:p>
    <w:p w:rsidR="00C350B9" w:rsidRPr="00CB48BA" w:rsidRDefault="00612E3D" w:rsidP="00612E3D">
      <w:pPr>
        <w:pStyle w:val="1"/>
        <w:rPr>
          <w:rFonts w:hint="cs"/>
          <w:rtl/>
        </w:rPr>
      </w:pPr>
      <w:r>
        <w:rPr>
          <w:rtl/>
        </w:rPr>
        <w:br w:type="page"/>
      </w:r>
      <w:bookmarkStart w:id="38" w:name="_Toc144716288"/>
      <w:r w:rsidR="00C350B9" w:rsidRPr="00CB48BA">
        <w:rPr>
          <w:rFonts w:hint="cs"/>
          <w:rtl/>
        </w:rPr>
        <w:lastRenderedPageBreak/>
        <w:t>סיכום</w:t>
      </w:r>
      <w:bookmarkEnd w:id="38"/>
    </w:p>
    <w:p w:rsidR="00C350B9" w:rsidRDefault="00C350B9" w:rsidP="00C350B9">
      <w:pPr>
        <w:pStyle w:val="a3"/>
        <w:spacing w:line="480" w:lineRule="auto"/>
        <w:jc w:val="both"/>
        <w:rPr>
          <w:rFonts w:cs="David" w:hint="cs"/>
          <w:sz w:val="24"/>
          <w:szCs w:val="24"/>
          <w:rtl/>
        </w:rPr>
      </w:pPr>
      <w:r w:rsidRPr="0010052B">
        <w:rPr>
          <w:rFonts w:cs="David" w:hint="eastAsia"/>
          <w:sz w:val="24"/>
          <w:szCs w:val="24"/>
          <w:rtl/>
        </w:rPr>
        <w:t>חוות</w:t>
      </w:r>
      <w:r w:rsidRPr="0010052B">
        <w:rPr>
          <w:rFonts w:cs="David"/>
          <w:sz w:val="24"/>
          <w:szCs w:val="24"/>
          <w:rtl/>
        </w:rPr>
        <w:t xml:space="preserve"> דעת </w:t>
      </w:r>
      <w:r w:rsidRPr="0010052B">
        <w:rPr>
          <w:rFonts w:cs="David" w:hint="eastAsia"/>
          <w:sz w:val="24"/>
          <w:szCs w:val="24"/>
          <w:rtl/>
        </w:rPr>
        <w:t>זו</w:t>
      </w:r>
      <w:r w:rsidRPr="0010052B">
        <w:rPr>
          <w:rFonts w:cs="David"/>
          <w:sz w:val="24"/>
          <w:szCs w:val="24"/>
          <w:rtl/>
        </w:rPr>
        <w:t xml:space="preserve"> </w:t>
      </w:r>
      <w:r w:rsidRPr="0010052B">
        <w:rPr>
          <w:rFonts w:cs="David" w:hint="cs"/>
          <w:sz w:val="24"/>
          <w:szCs w:val="24"/>
          <w:rtl/>
        </w:rPr>
        <w:t>בוחנת את ההיבט המשפטי של ה</w:t>
      </w:r>
      <w:r w:rsidRPr="0010052B">
        <w:rPr>
          <w:rFonts w:cs="David"/>
          <w:sz w:val="24"/>
          <w:szCs w:val="24"/>
          <w:rtl/>
        </w:rPr>
        <w:t>וראה בחוזר החשב הכללי שעניינה החזר הוצאות רכב לעובדים</w:t>
      </w:r>
      <w:r w:rsidRPr="0010052B">
        <w:rPr>
          <w:rFonts w:cs="David" w:hint="cs"/>
          <w:sz w:val="24"/>
          <w:szCs w:val="24"/>
          <w:rtl/>
        </w:rPr>
        <w:t xml:space="preserve"> המבצעים </w:t>
      </w:r>
      <w:r>
        <w:rPr>
          <w:rFonts w:cs="David" w:hint="cs"/>
          <w:sz w:val="24"/>
          <w:szCs w:val="24"/>
          <w:rtl/>
        </w:rPr>
        <w:t>נסיעות בתפקיד. החזרי הוצאות הנסיעה והחזרה לעבודה וממנה מוסדרים באופן שונה</w:t>
      </w:r>
      <w:r>
        <w:rPr>
          <w:rFonts w:hint="cs"/>
          <w:rtl/>
        </w:rPr>
        <w:t xml:space="preserve">, </w:t>
      </w:r>
      <w:r>
        <w:rPr>
          <w:rFonts w:cs="David" w:hint="cs"/>
          <w:sz w:val="24"/>
          <w:szCs w:val="24"/>
          <w:rtl/>
        </w:rPr>
        <w:t xml:space="preserve">וניתנים לפי תעריפי תחבורה ציבורית. </w:t>
      </w:r>
    </w:p>
    <w:p w:rsidR="00C350B9" w:rsidRDefault="00C350B9" w:rsidP="00C350B9">
      <w:pPr>
        <w:pStyle w:val="a3"/>
        <w:spacing w:line="480" w:lineRule="auto"/>
        <w:jc w:val="both"/>
        <w:rPr>
          <w:rFonts w:cs="David" w:hint="cs"/>
          <w:sz w:val="24"/>
          <w:szCs w:val="24"/>
          <w:rtl/>
        </w:rPr>
      </w:pPr>
      <w:r>
        <w:rPr>
          <w:rFonts w:cs="David" w:hint="cs"/>
          <w:sz w:val="24"/>
          <w:szCs w:val="24"/>
          <w:rtl/>
        </w:rPr>
        <w:t>נראה כי מטרתה של הוראה המתלה החזר הוצאות לגבי נסיעות שבוצעו בתפקיד בהוכחת בעלות על רכב</w:t>
      </w:r>
      <w:r w:rsidR="00B16572">
        <w:rPr>
          <w:rFonts w:cs="David" w:hint="cs"/>
          <w:sz w:val="24"/>
          <w:szCs w:val="24"/>
          <w:rtl/>
        </w:rPr>
        <w:t xml:space="preserve"> ובהחזקת רשיונות נהיגה</w:t>
      </w:r>
      <w:r>
        <w:rPr>
          <w:rFonts w:cs="David" w:hint="cs"/>
          <w:sz w:val="24"/>
          <w:szCs w:val="24"/>
          <w:rtl/>
        </w:rPr>
        <w:t xml:space="preserve">, היא להחזיר לעובד את הוצאות הרכב הפרטי שנובעות מהשימוש בו בעת מילוי התפקיד (עידוד זמינות, ניידות), ומאידך השבה הוגנת ויעילה מכספי הציבור רק להוצאות שהוצאו במסגרת נסיעה בתפקיד. </w:t>
      </w:r>
    </w:p>
    <w:p w:rsidR="00C350B9" w:rsidRDefault="00C350B9" w:rsidP="00C350B9">
      <w:pPr>
        <w:spacing w:line="480" w:lineRule="auto"/>
        <w:jc w:val="both"/>
        <w:rPr>
          <w:rFonts w:hint="cs"/>
          <w:rtl/>
        </w:rPr>
      </w:pPr>
    </w:p>
    <w:p w:rsidR="00C350B9" w:rsidRDefault="00C350B9" w:rsidP="00C350B9">
      <w:pPr>
        <w:spacing w:line="480" w:lineRule="auto"/>
        <w:jc w:val="both"/>
        <w:rPr>
          <w:rFonts w:hint="cs"/>
          <w:rtl/>
        </w:rPr>
      </w:pPr>
      <w:r>
        <w:rPr>
          <w:rFonts w:hint="cs"/>
          <w:rtl/>
        </w:rPr>
        <w:t xml:space="preserve">ההנחה שעומדת בבסיס חוות הדעת, היא </w:t>
      </w:r>
      <w:r>
        <w:rPr>
          <w:rtl/>
        </w:rPr>
        <w:t xml:space="preserve">כי </w:t>
      </w:r>
      <w:r>
        <w:rPr>
          <w:rFonts w:hint="eastAsia"/>
          <w:rtl/>
        </w:rPr>
        <w:t>הוראה</w:t>
      </w:r>
      <w:r>
        <w:rPr>
          <w:rtl/>
        </w:rPr>
        <w:t xml:space="preserve"> זו מפלה לטובה את בעלי הרכב</w:t>
      </w:r>
      <w:r w:rsidR="00B16572">
        <w:rPr>
          <w:rFonts w:hint="cs"/>
          <w:rtl/>
        </w:rPr>
        <w:t xml:space="preserve"> ורשיונות הנהיגה</w:t>
      </w:r>
      <w:r>
        <w:rPr>
          <w:rtl/>
        </w:rPr>
        <w:t xml:space="preserve">, ובפועל מתמרצת עובדים לרכוש מכוניות ולהשתמש בהן. </w:t>
      </w:r>
    </w:p>
    <w:p w:rsidR="00C350B9" w:rsidRDefault="00E3724B" w:rsidP="00E3724B">
      <w:pPr>
        <w:spacing w:line="480" w:lineRule="auto"/>
        <w:jc w:val="both"/>
        <w:rPr>
          <w:rFonts w:hint="cs"/>
          <w:rtl/>
        </w:rPr>
      </w:pPr>
      <w:r>
        <w:rPr>
          <w:rFonts w:hint="cs"/>
          <w:rtl/>
        </w:rPr>
        <w:t>ראוי לומר</w:t>
      </w:r>
      <w:r w:rsidR="00C350B9">
        <w:rPr>
          <w:rFonts w:hint="cs"/>
          <w:rtl/>
        </w:rPr>
        <w:t xml:space="preserve"> </w:t>
      </w:r>
      <w:r>
        <w:rPr>
          <w:rFonts w:hint="cs"/>
          <w:rtl/>
        </w:rPr>
        <w:t xml:space="preserve">כי </w:t>
      </w:r>
      <w:r w:rsidR="00C350B9">
        <w:rPr>
          <w:rFonts w:hint="cs"/>
          <w:rtl/>
        </w:rPr>
        <w:t>ההצעה האלטרנטיבית לתת את המענק הזה לכולם ללא הבחנה, בין אם הם בעלי רכב ובין אם לאו, אינה נתפשת כהתנהלות של מנהל תקין יעיל ומשום כך האינטרס הציבורי יורה שלא לאפשר את ההטבה הזו לכולם. עוד ראוי לציין, כי החזרי הנסיעות הינם מוגבלים ומדורגים בהתאם לאופי השונה של התפקידים אותם ממלאים העובדים.</w:t>
      </w:r>
    </w:p>
    <w:p w:rsidR="00C350B9" w:rsidRDefault="00C350B9" w:rsidP="00C350B9">
      <w:pPr>
        <w:pStyle w:val="a3"/>
        <w:spacing w:line="480" w:lineRule="auto"/>
        <w:jc w:val="both"/>
        <w:rPr>
          <w:rFonts w:cs="David" w:hint="cs"/>
          <w:sz w:val="24"/>
          <w:szCs w:val="24"/>
          <w:rtl/>
        </w:rPr>
      </w:pPr>
    </w:p>
    <w:p w:rsidR="00C350B9" w:rsidRDefault="00C350B9" w:rsidP="00964163">
      <w:pPr>
        <w:pStyle w:val="a3"/>
        <w:spacing w:line="480" w:lineRule="auto"/>
        <w:jc w:val="both"/>
        <w:rPr>
          <w:rFonts w:cs="David" w:hint="cs"/>
          <w:sz w:val="24"/>
          <w:szCs w:val="24"/>
          <w:rtl/>
        </w:rPr>
      </w:pPr>
      <w:r>
        <w:rPr>
          <w:rFonts w:cs="David" w:hint="cs"/>
          <w:sz w:val="24"/>
          <w:szCs w:val="24"/>
          <w:rtl/>
        </w:rPr>
        <w:t xml:space="preserve">הוראה </w:t>
      </w:r>
      <w:r w:rsidR="00964163">
        <w:rPr>
          <w:rFonts w:cs="David" w:hint="cs"/>
          <w:sz w:val="24"/>
          <w:szCs w:val="24"/>
          <w:rtl/>
        </w:rPr>
        <w:t>החשב הכללי</w:t>
      </w:r>
      <w:r>
        <w:rPr>
          <w:rFonts w:cs="David" w:hint="cs"/>
          <w:sz w:val="24"/>
          <w:szCs w:val="24"/>
          <w:rtl/>
        </w:rPr>
        <w:t xml:space="preserve"> נכללת בגדר "הנחיה מנהלית", ו</w:t>
      </w:r>
      <w:r w:rsidR="00964163">
        <w:rPr>
          <w:rFonts w:cs="David" w:hint="cs"/>
          <w:sz w:val="24"/>
          <w:szCs w:val="24"/>
          <w:rtl/>
        </w:rPr>
        <w:t xml:space="preserve">לפיכך </w:t>
      </w:r>
      <w:r>
        <w:rPr>
          <w:rFonts w:cs="David" w:hint="cs"/>
          <w:sz w:val="24"/>
          <w:szCs w:val="24"/>
          <w:rtl/>
        </w:rPr>
        <w:t>החשב הכללי</w:t>
      </w:r>
      <w:r w:rsidR="00964163">
        <w:rPr>
          <w:rFonts w:cs="David" w:hint="cs"/>
          <w:sz w:val="24"/>
          <w:szCs w:val="24"/>
          <w:rtl/>
        </w:rPr>
        <w:t xml:space="preserve"> - </w:t>
      </w:r>
      <w:r>
        <w:rPr>
          <w:rFonts w:cs="David" w:hint="cs"/>
          <w:sz w:val="24"/>
          <w:szCs w:val="24"/>
          <w:rtl/>
        </w:rPr>
        <w:t>כגוף מנהלי</w:t>
      </w:r>
      <w:r w:rsidR="00964163">
        <w:rPr>
          <w:rFonts w:cs="David" w:hint="cs"/>
          <w:sz w:val="24"/>
          <w:szCs w:val="24"/>
          <w:rtl/>
        </w:rPr>
        <w:t xml:space="preserve"> -</w:t>
      </w:r>
      <w:r w:rsidR="00712868">
        <w:rPr>
          <w:rFonts w:cs="David" w:hint="cs"/>
          <w:sz w:val="24"/>
          <w:szCs w:val="24"/>
          <w:rtl/>
        </w:rPr>
        <w:t xml:space="preserve"> מחוייב לעקרונות-על ולמספר כללי</w:t>
      </w:r>
      <w:r>
        <w:rPr>
          <w:rFonts w:cs="David" w:hint="cs"/>
          <w:sz w:val="24"/>
          <w:szCs w:val="24"/>
          <w:rtl/>
        </w:rPr>
        <w:t xml:space="preserve"> יסוד</w:t>
      </w:r>
      <w:r w:rsidR="00964163">
        <w:rPr>
          <w:rFonts w:cs="David" w:hint="cs"/>
          <w:sz w:val="24"/>
          <w:szCs w:val="24"/>
          <w:rtl/>
        </w:rPr>
        <w:t xml:space="preserve"> נוספים</w:t>
      </w:r>
      <w:r>
        <w:rPr>
          <w:rFonts w:cs="David" w:hint="cs"/>
          <w:sz w:val="24"/>
          <w:szCs w:val="24"/>
          <w:rtl/>
        </w:rPr>
        <w:t>. עקרונות וכללים אלו הם תוצר החקיקה והפסיקה. במידה ונפל פגם במעשה המנהלי, כדוגמת הפרת עקרון או כלל יסוד, הרי שהדבר יכול להביא לבטלות ההוראה.</w:t>
      </w:r>
    </w:p>
    <w:p w:rsidR="00C350B9" w:rsidRDefault="00C350B9" w:rsidP="00964163">
      <w:pPr>
        <w:pStyle w:val="a3"/>
        <w:spacing w:line="480" w:lineRule="auto"/>
        <w:jc w:val="both"/>
        <w:rPr>
          <w:rFonts w:cs="David" w:hint="cs"/>
          <w:sz w:val="24"/>
          <w:szCs w:val="24"/>
          <w:rtl/>
        </w:rPr>
      </w:pPr>
      <w:r>
        <w:rPr>
          <w:rFonts w:cs="David" w:hint="cs"/>
          <w:sz w:val="24"/>
          <w:szCs w:val="24"/>
          <w:rtl/>
        </w:rPr>
        <w:t>בחוות דעת זו נסקרו בפירוט העקרונות והכללים, וכן הועלו הטענות המשפטיות היכולות לנבוע מהם ויכולות להעיד על פגם בהוראה.</w:t>
      </w:r>
      <w:r w:rsidR="00A64189">
        <w:rPr>
          <w:rFonts w:cs="David" w:hint="cs"/>
          <w:sz w:val="24"/>
          <w:szCs w:val="24"/>
          <w:rtl/>
        </w:rPr>
        <w:t xml:space="preserve"> בין השאר ה</w:t>
      </w:r>
      <w:r w:rsidR="00964163">
        <w:rPr>
          <w:rFonts w:cs="David" w:hint="cs"/>
          <w:sz w:val="24"/>
          <w:szCs w:val="24"/>
          <w:rtl/>
        </w:rPr>
        <w:t>צבענו על פגם אפשרי בזכות היסוד לשוויון, המוקנית לכל עובד.</w:t>
      </w:r>
    </w:p>
    <w:p w:rsidR="00C350B9" w:rsidRDefault="00C350B9" w:rsidP="00C350B9">
      <w:pPr>
        <w:pStyle w:val="a3"/>
        <w:spacing w:line="480" w:lineRule="auto"/>
        <w:jc w:val="both"/>
        <w:rPr>
          <w:rFonts w:cs="David" w:hint="cs"/>
          <w:sz w:val="24"/>
          <w:szCs w:val="24"/>
          <w:rtl/>
        </w:rPr>
      </w:pPr>
      <w:r>
        <w:rPr>
          <w:rFonts w:cs="David" w:hint="cs"/>
          <w:sz w:val="24"/>
          <w:szCs w:val="24"/>
          <w:rtl/>
        </w:rPr>
        <w:t xml:space="preserve">לרשות מנהלית שקבעה הנחיות יש סמכות חוקית אף לשנותן או לבטלן, ולפיכך דרך הפעולה המומלצת היא </w:t>
      </w:r>
      <w:r>
        <w:rPr>
          <w:rFonts w:cs="David" w:hint="cs"/>
          <w:b/>
          <w:bCs/>
          <w:sz w:val="24"/>
          <w:szCs w:val="24"/>
          <w:rtl/>
        </w:rPr>
        <w:t xml:space="preserve">פניה לחשב הכללי </w:t>
      </w:r>
      <w:r w:rsidRPr="003A7496">
        <w:rPr>
          <w:rFonts w:cs="David" w:hint="cs"/>
          <w:b/>
          <w:bCs/>
          <w:sz w:val="24"/>
          <w:szCs w:val="24"/>
          <w:rtl/>
        </w:rPr>
        <w:t>או</w:t>
      </w:r>
      <w:r>
        <w:rPr>
          <w:rFonts w:cs="David" w:hint="cs"/>
          <w:b/>
          <w:bCs/>
          <w:sz w:val="24"/>
          <w:szCs w:val="24"/>
          <w:rtl/>
        </w:rPr>
        <w:t xml:space="preserve"> </w:t>
      </w:r>
      <w:r w:rsidRPr="003A7496">
        <w:rPr>
          <w:rFonts w:cs="David" w:hint="cs"/>
          <w:b/>
          <w:bCs/>
          <w:sz w:val="24"/>
          <w:szCs w:val="24"/>
          <w:rtl/>
        </w:rPr>
        <w:t>לשר האוצר</w:t>
      </w:r>
      <w:r>
        <w:rPr>
          <w:rFonts w:cs="David" w:hint="cs"/>
          <w:sz w:val="24"/>
          <w:szCs w:val="24"/>
          <w:rtl/>
        </w:rPr>
        <w:t xml:space="preserve"> בבקשה לשנות הוראה זו. </w:t>
      </w:r>
    </w:p>
    <w:p w:rsidR="00C350B9" w:rsidRDefault="00C350B9" w:rsidP="00C350B9">
      <w:pPr>
        <w:pStyle w:val="a3"/>
        <w:spacing w:line="480" w:lineRule="auto"/>
        <w:jc w:val="both"/>
        <w:rPr>
          <w:rFonts w:cs="David" w:hint="cs"/>
          <w:sz w:val="24"/>
          <w:szCs w:val="24"/>
          <w:rtl/>
        </w:rPr>
      </w:pPr>
      <w:r>
        <w:rPr>
          <w:rFonts w:cs="David" w:hint="cs"/>
          <w:sz w:val="24"/>
          <w:szCs w:val="24"/>
          <w:rtl/>
        </w:rPr>
        <w:t>הפניה תפרט את ההשגות של העמותה בכל הנוגע להשלכות ההוראה על איכות הסביבה, תוך הבהרת התמריץ לשימוש ברכבים שנובע כיום מההוראה (יתכן ומבלי משים). בנוסף, ראוי לחשוב על כריכת הבקשה בהצעת אפשרות יעילה חליפית, תוך בחינת היבטיה השונים.</w:t>
      </w:r>
    </w:p>
    <w:p w:rsidR="00C350B9" w:rsidRDefault="00C350B9" w:rsidP="00C350B9">
      <w:pPr>
        <w:spacing w:line="480" w:lineRule="auto"/>
        <w:jc w:val="both"/>
        <w:rPr>
          <w:rFonts w:hint="cs"/>
          <w:rtl/>
        </w:rPr>
      </w:pPr>
      <w:r>
        <w:rPr>
          <w:rFonts w:hint="eastAsia"/>
          <w:rtl/>
        </w:rPr>
        <w:lastRenderedPageBreak/>
        <w:t>במידה</w:t>
      </w:r>
      <w:r>
        <w:rPr>
          <w:rtl/>
        </w:rPr>
        <w:t xml:space="preserve"> והפניה </w:t>
      </w:r>
      <w:r>
        <w:rPr>
          <w:rFonts w:hint="eastAsia"/>
          <w:rtl/>
        </w:rPr>
        <w:t>תענה</w:t>
      </w:r>
      <w:r>
        <w:rPr>
          <w:rtl/>
        </w:rPr>
        <w:t xml:space="preserve"> בשלילה</w:t>
      </w:r>
      <w:r>
        <w:rPr>
          <w:rFonts w:hint="cs"/>
          <w:rtl/>
        </w:rPr>
        <w:t>,</w:t>
      </w:r>
      <w:r>
        <w:rPr>
          <w:rtl/>
        </w:rPr>
        <w:t xml:space="preserve"> יש לנסות ולפנות </w:t>
      </w:r>
      <w:r>
        <w:rPr>
          <w:b/>
          <w:bCs/>
          <w:rtl/>
        </w:rPr>
        <w:t>לגורמים נוספים</w:t>
      </w:r>
      <w:r>
        <w:rPr>
          <w:rtl/>
        </w:rPr>
        <w:t xml:space="preserve"> </w:t>
      </w:r>
      <w:r>
        <w:rPr>
          <w:rFonts w:hint="cs"/>
          <w:rtl/>
        </w:rPr>
        <w:t>בעלי</w:t>
      </w:r>
      <w:r>
        <w:rPr>
          <w:rtl/>
        </w:rPr>
        <w:t xml:space="preserve"> נגיעה לעניין</w:t>
      </w:r>
      <w:r>
        <w:rPr>
          <w:rFonts w:hint="cs"/>
          <w:rtl/>
        </w:rPr>
        <w:t>, כגון</w:t>
      </w:r>
      <w:r>
        <w:rPr>
          <w:rtl/>
        </w:rPr>
        <w:t xml:space="preserve"> השר </w:t>
      </w:r>
      <w:r>
        <w:rPr>
          <w:rFonts w:hint="eastAsia"/>
          <w:rtl/>
        </w:rPr>
        <w:t>לאיכות</w:t>
      </w:r>
      <w:r>
        <w:rPr>
          <w:rtl/>
        </w:rPr>
        <w:t xml:space="preserve"> הסביבה </w:t>
      </w:r>
      <w:r>
        <w:rPr>
          <w:rFonts w:hint="cs"/>
          <w:rtl/>
        </w:rPr>
        <w:t>ושר התחבורה</w:t>
      </w:r>
      <w:r>
        <w:rPr>
          <w:rtl/>
        </w:rPr>
        <w:t>.</w:t>
      </w:r>
    </w:p>
    <w:p w:rsidR="00C350B9" w:rsidRDefault="00C350B9" w:rsidP="00C350B9">
      <w:pPr>
        <w:spacing w:line="480" w:lineRule="auto"/>
        <w:jc w:val="both"/>
        <w:rPr>
          <w:rFonts w:hint="cs"/>
          <w:rtl/>
        </w:rPr>
      </w:pPr>
      <w:r>
        <w:rPr>
          <w:rFonts w:hint="cs"/>
          <w:rtl/>
        </w:rPr>
        <w:t>רק באם כל אלו לא יצלחו, אזי יש לשקול, תוך כדי הסתייעות בשירותים משפטיים, האם יש עילות מוצדקות לתביעה, ומה הם סיכויי הצלחה של תביעה כזו ב</w:t>
      </w:r>
      <w:r w:rsidRPr="005A5315">
        <w:rPr>
          <w:rFonts w:hint="cs"/>
          <w:b/>
          <w:bCs/>
          <w:rtl/>
        </w:rPr>
        <w:t>ערכאות</w:t>
      </w:r>
      <w:r>
        <w:rPr>
          <w:rFonts w:hint="cs"/>
          <w:b/>
          <w:bCs/>
          <w:rtl/>
        </w:rPr>
        <w:t xml:space="preserve"> שיפוטיות. </w:t>
      </w:r>
    </w:p>
    <w:p w:rsidR="00673B1E" w:rsidRDefault="00673B1E">
      <w:pPr>
        <w:rPr>
          <w:rFonts w:hint="cs"/>
          <w:rtl/>
        </w:rPr>
      </w:pPr>
    </w:p>
    <w:p w:rsidR="00306B0E" w:rsidRDefault="00306B0E">
      <w:pPr>
        <w:rPr>
          <w:rFonts w:hint="cs"/>
          <w:rtl/>
        </w:rPr>
      </w:pPr>
    </w:p>
    <w:p w:rsidR="00306B0E" w:rsidRPr="00CB48BA" w:rsidRDefault="00612E3D" w:rsidP="00612E3D">
      <w:pPr>
        <w:pStyle w:val="1"/>
        <w:rPr>
          <w:rFonts w:hint="cs"/>
          <w:rtl/>
        </w:rPr>
      </w:pPr>
      <w:r>
        <w:rPr>
          <w:rtl/>
        </w:rPr>
        <w:br w:type="page"/>
      </w:r>
      <w:bookmarkStart w:id="39" w:name="_Toc144716289"/>
      <w:r>
        <w:rPr>
          <w:rFonts w:hint="cs"/>
          <w:rtl/>
        </w:rPr>
        <w:lastRenderedPageBreak/>
        <w:t>רשימת מקורות</w:t>
      </w:r>
      <w:bookmarkEnd w:id="39"/>
    </w:p>
    <w:p w:rsidR="00306B0E" w:rsidRPr="00DF427F" w:rsidRDefault="00306B0E" w:rsidP="00306B0E">
      <w:pPr>
        <w:spacing w:line="480" w:lineRule="auto"/>
        <w:jc w:val="both"/>
        <w:rPr>
          <w:rFonts w:hint="cs"/>
          <w:u w:val="single"/>
          <w:rtl/>
        </w:rPr>
      </w:pPr>
      <w:r w:rsidRPr="00DF427F">
        <w:rPr>
          <w:rFonts w:hint="cs"/>
          <w:u w:val="single"/>
          <w:rtl/>
        </w:rPr>
        <w:t>חקיקה</w:t>
      </w:r>
    </w:p>
    <w:p w:rsidR="00306B0E" w:rsidRDefault="00306B0E" w:rsidP="00306B0E">
      <w:pPr>
        <w:jc w:val="both"/>
        <w:rPr>
          <w:rFonts w:hint="cs"/>
          <w:rtl/>
        </w:rPr>
      </w:pPr>
      <w:r>
        <w:rPr>
          <w:rFonts w:hint="cs"/>
          <w:rtl/>
        </w:rPr>
        <w:t xml:space="preserve">1. </w:t>
      </w:r>
      <w:r w:rsidRPr="008965AB">
        <w:rPr>
          <w:rFonts w:hint="cs"/>
          <w:rtl/>
        </w:rPr>
        <w:t>חוק יסוד: הממשלה, ס"ח תשס"א 158.</w:t>
      </w:r>
    </w:p>
    <w:p w:rsidR="00306B0E" w:rsidRDefault="00306B0E" w:rsidP="00306B0E">
      <w:pPr>
        <w:jc w:val="both"/>
        <w:rPr>
          <w:rFonts w:hint="cs"/>
          <w:rtl/>
        </w:rPr>
      </w:pPr>
    </w:p>
    <w:p w:rsidR="00306B0E" w:rsidRDefault="00306B0E" w:rsidP="00306B0E">
      <w:pPr>
        <w:jc w:val="both"/>
        <w:rPr>
          <w:rFonts w:hint="cs"/>
          <w:rtl/>
        </w:rPr>
      </w:pPr>
      <w:r>
        <w:rPr>
          <w:rFonts w:hint="cs"/>
          <w:rtl/>
        </w:rPr>
        <w:t xml:space="preserve">2. </w:t>
      </w:r>
      <w:r w:rsidRPr="008965AB">
        <w:rPr>
          <w:rFonts w:hint="cs"/>
          <w:rtl/>
        </w:rPr>
        <w:t>חוק יסוד: חופש העיסוק, התשנ"ד-1994, ס"ח תשנ"ח, 178.</w:t>
      </w:r>
    </w:p>
    <w:p w:rsidR="00306B0E" w:rsidRDefault="00306B0E" w:rsidP="00306B0E">
      <w:pPr>
        <w:jc w:val="both"/>
        <w:rPr>
          <w:rFonts w:hint="cs"/>
          <w:rtl/>
        </w:rPr>
      </w:pPr>
    </w:p>
    <w:p w:rsidR="00306B0E" w:rsidRPr="008965AB" w:rsidRDefault="00306B0E" w:rsidP="00306B0E">
      <w:pPr>
        <w:pStyle w:val="a5"/>
        <w:rPr>
          <w:rFonts w:hint="cs"/>
          <w:sz w:val="24"/>
          <w:szCs w:val="24"/>
        </w:rPr>
      </w:pPr>
      <w:r w:rsidRPr="00DF427F">
        <w:rPr>
          <w:rFonts w:hint="cs"/>
          <w:sz w:val="24"/>
          <w:szCs w:val="24"/>
          <w:rtl/>
        </w:rPr>
        <w:t>3</w:t>
      </w:r>
      <w:r>
        <w:rPr>
          <w:rFonts w:hint="cs"/>
          <w:rtl/>
        </w:rPr>
        <w:t xml:space="preserve">. </w:t>
      </w:r>
      <w:r w:rsidRPr="008965AB">
        <w:rPr>
          <w:rFonts w:hint="cs"/>
          <w:sz w:val="24"/>
          <w:szCs w:val="24"/>
          <w:rtl/>
        </w:rPr>
        <w:t>חוק יסוד: כבוד האדם וחירותו, התשנ"ב-1992, ס"ח תשנ"ד, 90.</w:t>
      </w:r>
    </w:p>
    <w:p w:rsidR="00306B0E" w:rsidRPr="008965AB" w:rsidRDefault="00306B0E" w:rsidP="00306B0E">
      <w:pPr>
        <w:jc w:val="both"/>
        <w:rPr>
          <w:rFonts w:hint="cs"/>
          <w:rtl/>
        </w:rPr>
      </w:pPr>
    </w:p>
    <w:p w:rsidR="00306B0E" w:rsidRPr="008965AB" w:rsidRDefault="00306B0E" w:rsidP="00306B0E">
      <w:pPr>
        <w:pStyle w:val="a5"/>
        <w:rPr>
          <w:rFonts w:hint="cs"/>
          <w:sz w:val="24"/>
          <w:szCs w:val="24"/>
          <w:rtl/>
        </w:rPr>
      </w:pPr>
      <w:r>
        <w:rPr>
          <w:rFonts w:hint="cs"/>
          <w:sz w:val="24"/>
          <w:szCs w:val="24"/>
          <w:rtl/>
        </w:rPr>
        <w:t>4</w:t>
      </w:r>
      <w:r w:rsidRPr="008965AB">
        <w:rPr>
          <w:rFonts w:hint="cs"/>
          <w:sz w:val="24"/>
          <w:szCs w:val="24"/>
          <w:rtl/>
        </w:rPr>
        <w:t>. חוק בתי המשפט [נוסח משולב], התשמ"ד-1984.</w:t>
      </w:r>
    </w:p>
    <w:p w:rsidR="00306B0E" w:rsidRPr="008965AB" w:rsidRDefault="00306B0E" w:rsidP="00306B0E">
      <w:pPr>
        <w:pStyle w:val="a5"/>
        <w:rPr>
          <w:rFonts w:hint="cs"/>
          <w:sz w:val="24"/>
          <w:szCs w:val="24"/>
          <w:rtl/>
        </w:rPr>
      </w:pPr>
    </w:p>
    <w:p w:rsidR="00306B0E" w:rsidRPr="008965AB" w:rsidRDefault="00306B0E" w:rsidP="00306B0E">
      <w:pPr>
        <w:pStyle w:val="a5"/>
        <w:rPr>
          <w:rFonts w:hint="cs"/>
          <w:sz w:val="24"/>
          <w:szCs w:val="24"/>
          <w:rtl/>
        </w:rPr>
      </w:pPr>
      <w:r>
        <w:rPr>
          <w:rFonts w:hint="cs"/>
          <w:sz w:val="24"/>
          <w:szCs w:val="24"/>
          <w:rtl/>
        </w:rPr>
        <w:t>5</w:t>
      </w:r>
      <w:r w:rsidRPr="008965AB">
        <w:rPr>
          <w:rFonts w:hint="cs"/>
          <w:sz w:val="24"/>
          <w:szCs w:val="24"/>
          <w:rtl/>
        </w:rPr>
        <w:t xml:space="preserve">. חוק בתי משפט לעניינים מנהליים, התש"ס-2000. </w:t>
      </w:r>
    </w:p>
    <w:p w:rsidR="00306B0E" w:rsidRPr="008965AB" w:rsidRDefault="00306B0E" w:rsidP="00306B0E">
      <w:pPr>
        <w:jc w:val="both"/>
        <w:rPr>
          <w:rFonts w:hint="cs"/>
          <w:rtl/>
        </w:rPr>
      </w:pPr>
      <w:r w:rsidRPr="008965AB">
        <w:rPr>
          <w:rFonts w:hint="cs"/>
          <w:rtl/>
        </w:rPr>
        <w:t xml:space="preserve">    </w:t>
      </w:r>
    </w:p>
    <w:p w:rsidR="00306B0E" w:rsidRDefault="00306B0E" w:rsidP="00306B0E">
      <w:pPr>
        <w:jc w:val="both"/>
        <w:rPr>
          <w:rFonts w:hint="cs"/>
          <w:rtl/>
        </w:rPr>
      </w:pPr>
      <w:r>
        <w:rPr>
          <w:rFonts w:hint="cs"/>
          <w:rtl/>
        </w:rPr>
        <w:t>6</w:t>
      </w:r>
      <w:r w:rsidRPr="008965AB">
        <w:rPr>
          <w:rFonts w:hint="cs"/>
          <w:rtl/>
        </w:rPr>
        <w:t xml:space="preserve">. </w:t>
      </w:r>
      <w:r w:rsidRPr="008965AB">
        <w:rPr>
          <w:rtl/>
        </w:rPr>
        <w:t>חוק יסודות התקציב, התשמ"ה-1985</w:t>
      </w:r>
      <w:r w:rsidRPr="008965AB">
        <w:rPr>
          <w:rFonts w:hint="cs"/>
          <w:rtl/>
        </w:rPr>
        <w:t>.</w:t>
      </w:r>
      <w:r w:rsidRPr="008965AB">
        <w:rPr>
          <w:rtl/>
        </w:rPr>
        <w:t xml:space="preserve"> </w:t>
      </w:r>
    </w:p>
    <w:p w:rsidR="00FA580C" w:rsidRDefault="00FA580C" w:rsidP="00306B0E">
      <w:pPr>
        <w:jc w:val="both"/>
        <w:rPr>
          <w:rFonts w:hint="cs"/>
          <w:rtl/>
        </w:rPr>
      </w:pPr>
    </w:p>
    <w:p w:rsidR="00FA580C" w:rsidRPr="008965AB" w:rsidRDefault="00FA580C" w:rsidP="00306B0E">
      <w:pPr>
        <w:jc w:val="both"/>
        <w:rPr>
          <w:rFonts w:hint="cs"/>
          <w:rtl/>
        </w:rPr>
      </w:pPr>
      <w:r>
        <w:rPr>
          <w:rFonts w:hint="cs"/>
          <w:rtl/>
        </w:rPr>
        <w:t>7. חוק הממשלה, התשס"א-2001.</w:t>
      </w:r>
    </w:p>
    <w:p w:rsidR="00306B0E" w:rsidRPr="008965AB" w:rsidRDefault="00306B0E" w:rsidP="00306B0E">
      <w:pPr>
        <w:pStyle w:val="a5"/>
        <w:rPr>
          <w:rFonts w:hint="cs"/>
          <w:sz w:val="24"/>
          <w:szCs w:val="24"/>
          <w:rtl/>
        </w:rPr>
      </w:pPr>
    </w:p>
    <w:p w:rsidR="00306B0E" w:rsidRPr="008965AB" w:rsidRDefault="00FA580C" w:rsidP="00306B0E">
      <w:pPr>
        <w:pStyle w:val="a5"/>
        <w:rPr>
          <w:rFonts w:hint="cs"/>
          <w:sz w:val="24"/>
          <w:szCs w:val="24"/>
          <w:rtl/>
        </w:rPr>
      </w:pPr>
      <w:r>
        <w:rPr>
          <w:rFonts w:hint="cs"/>
          <w:sz w:val="24"/>
          <w:szCs w:val="24"/>
          <w:rtl/>
        </w:rPr>
        <w:t>8</w:t>
      </w:r>
      <w:r w:rsidR="00306B0E" w:rsidRPr="008965AB">
        <w:rPr>
          <w:rFonts w:hint="cs"/>
          <w:sz w:val="24"/>
          <w:szCs w:val="24"/>
          <w:rtl/>
        </w:rPr>
        <w:t>. חוק נכסי המדינה, התשי"א-1951.</w:t>
      </w:r>
    </w:p>
    <w:p w:rsidR="00306B0E" w:rsidRPr="008965AB" w:rsidRDefault="00306B0E" w:rsidP="00306B0E">
      <w:pPr>
        <w:jc w:val="both"/>
        <w:rPr>
          <w:rFonts w:hint="cs"/>
          <w:u w:val="single"/>
          <w:rtl/>
        </w:rPr>
      </w:pPr>
    </w:p>
    <w:p w:rsidR="00306B0E" w:rsidRPr="00A501D2" w:rsidRDefault="00FA580C" w:rsidP="00306B0E">
      <w:pPr>
        <w:pStyle w:val="a5"/>
        <w:rPr>
          <w:rFonts w:hint="cs"/>
          <w:sz w:val="24"/>
          <w:szCs w:val="24"/>
          <w:rtl/>
        </w:rPr>
      </w:pPr>
      <w:r>
        <w:rPr>
          <w:rFonts w:hint="cs"/>
          <w:sz w:val="24"/>
          <w:szCs w:val="24"/>
          <w:rtl/>
        </w:rPr>
        <w:t>9</w:t>
      </w:r>
      <w:r w:rsidR="00306B0E">
        <w:rPr>
          <w:rFonts w:hint="cs"/>
          <w:sz w:val="24"/>
          <w:szCs w:val="24"/>
          <w:rtl/>
        </w:rPr>
        <w:t xml:space="preserve">. </w:t>
      </w:r>
      <w:r w:rsidR="00306B0E" w:rsidRPr="00A501D2">
        <w:rPr>
          <w:rFonts w:hint="cs"/>
          <w:sz w:val="24"/>
          <w:szCs w:val="24"/>
          <w:rtl/>
        </w:rPr>
        <w:t>חוק שוויון ההזדמנויות בעבודה, התשמ"ח-1988, ס"ח התשנ"ה, 95.</w:t>
      </w:r>
    </w:p>
    <w:p w:rsidR="00306B0E" w:rsidRDefault="00306B0E" w:rsidP="00306B0E">
      <w:pPr>
        <w:pStyle w:val="a5"/>
        <w:rPr>
          <w:rFonts w:ascii="Arial" w:hAnsi="Arial" w:hint="cs"/>
          <w:color w:val="000000"/>
          <w:sz w:val="24"/>
          <w:szCs w:val="24"/>
          <w:rtl/>
        </w:rPr>
      </w:pPr>
    </w:p>
    <w:p w:rsidR="00306B0E" w:rsidRPr="00A501D2" w:rsidRDefault="00FA580C" w:rsidP="00306B0E">
      <w:pPr>
        <w:pStyle w:val="a5"/>
        <w:rPr>
          <w:rFonts w:hint="cs"/>
          <w:sz w:val="24"/>
          <w:szCs w:val="24"/>
          <w:rtl/>
        </w:rPr>
      </w:pPr>
      <w:r>
        <w:rPr>
          <w:rFonts w:ascii="Arial" w:hAnsi="Arial" w:hint="cs"/>
          <w:color w:val="000000"/>
          <w:sz w:val="24"/>
          <w:szCs w:val="24"/>
          <w:rtl/>
        </w:rPr>
        <w:t>10</w:t>
      </w:r>
      <w:r w:rsidR="00306B0E">
        <w:rPr>
          <w:rFonts w:ascii="Arial" w:hAnsi="Arial" w:hint="cs"/>
          <w:color w:val="000000"/>
          <w:sz w:val="24"/>
          <w:szCs w:val="24"/>
          <w:rtl/>
        </w:rPr>
        <w:t xml:space="preserve">. </w:t>
      </w:r>
      <w:r w:rsidR="00306B0E" w:rsidRPr="00A501D2">
        <w:rPr>
          <w:rFonts w:ascii="Arial" w:hAnsi="Arial" w:hint="cs"/>
          <w:color w:val="000000"/>
          <w:sz w:val="24"/>
          <w:szCs w:val="24"/>
          <w:rtl/>
        </w:rPr>
        <w:t>חוק שכר שווה לעובדת ולעובד, התשנ"ו-1996</w:t>
      </w:r>
      <w:r w:rsidR="00306B0E" w:rsidRPr="00A501D2">
        <w:rPr>
          <w:rFonts w:hint="cs"/>
          <w:sz w:val="24"/>
          <w:szCs w:val="24"/>
          <w:rtl/>
        </w:rPr>
        <w:t>, ס"ח התשנ"ו, 230.</w:t>
      </w:r>
    </w:p>
    <w:p w:rsidR="00306B0E" w:rsidRDefault="00306B0E" w:rsidP="00306B0E">
      <w:pPr>
        <w:jc w:val="both"/>
        <w:rPr>
          <w:rFonts w:hint="cs"/>
          <w:rtl/>
        </w:rPr>
      </w:pPr>
    </w:p>
    <w:p w:rsidR="00306B0E" w:rsidRPr="008965AB" w:rsidRDefault="00FA580C" w:rsidP="00306B0E">
      <w:pPr>
        <w:jc w:val="both"/>
        <w:rPr>
          <w:rFonts w:hint="cs"/>
          <w:u w:val="single"/>
          <w:rtl/>
        </w:rPr>
      </w:pPr>
      <w:r>
        <w:rPr>
          <w:rFonts w:hint="cs"/>
          <w:rtl/>
        </w:rPr>
        <w:t>11</w:t>
      </w:r>
      <w:r w:rsidR="00306B0E">
        <w:rPr>
          <w:rFonts w:hint="cs"/>
          <w:rtl/>
        </w:rPr>
        <w:t xml:space="preserve">. </w:t>
      </w:r>
      <w:r w:rsidR="00306B0E" w:rsidRPr="008965AB">
        <w:rPr>
          <w:rFonts w:hint="cs"/>
          <w:rtl/>
        </w:rPr>
        <w:t>חוק לתיקון פקודת מס הכנסה (מס' 22), התשל"ה-1975, ס"ח תשל"ה 168.</w:t>
      </w:r>
    </w:p>
    <w:p w:rsidR="00306B0E" w:rsidRDefault="00306B0E" w:rsidP="00306B0E">
      <w:pPr>
        <w:jc w:val="both"/>
        <w:rPr>
          <w:rFonts w:hint="cs"/>
          <w:rtl/>
        </w:rPr>
      </w:pPr>
    </w:p>
    <w:p w:rsidR="00306B0E" w:rsidRPr="008965AB" w:rsidRDefault="00FA580C" w:rsidP="00306B0E">
      <w:pPr>
        <w:pStyle w:val="a5"/>
        <w:rPr>
          <w:rFonts w:hint="cs"/>
          <w:sz w:val="24"/>
          <w:szCs w:val="24"/>
        </w:rPr>
      </w:pPr>
      <w:r>
        <w:rPr>
          <w:rFonts w:hint="cs"/>
          <w:sz w:val="24"/>
          <w:szCs w:val="24"/>
          <w:rtl/>
        </w:rPr>
        <w:t>12</w:t>
      </w:r>
      <w:r w:rsidR="00306B0E">
        <w:rPr>
          <w:rFonts w:hint="cs"/>
          <w:sz w:val="24"/>
          <w:szCs w:val="24"/>
          <w:rtl/>
        </w:rPr>
        <w:t xml:space="preserve">. </w:t>
      </w:r>
      <w:r w:rsidR="00306B0E" w:rsidRPr="008965AB">
        <w:rPr>
          <w:rFonts w:hint="cs"/>
          <w:sz w:val="24"/>
          <w:szCs w:val="24"/>
          <w:rtl/>
        </w:rPr>
        <w:t>פקודת מס הכנסה [נוסח חדש].</w:t>
      </w:r>
    </w:p>
    <w:p w:rsidR="00306B0E" w:rsidRDefault="00306B0E" w:rsidP="00306B0E">
      <w:pPr>
        <w:jc w:val="both"/>
        <w:rPr>
          <w:rFonts w:hint="cs"/>
          <w:rtl/>
        </w:rPr>
      </w:pPr>
    </w:p>
    <w:p w:rsidR="00306B0E" w:rsidRPr="008965AB" w:rsidRDefault="00FA580C" w:rsidP="00306B0E">
      <w:pPr>
        <w:jc w:val="both"/>
        <w:rPr>
          <w:rFonts w:hint="cs"/>
          <w:u w:val="single"/>
          <w:rtl/>
        </w:rPr>
      </w:pPr>
      <w:r>
        <w:rPr>
          <w:rFonts w:hint="cs"/>
          <w:rtl/>
        </w:rPr>
        <w:t>13</w:t>
      </w:r>
      <w:r w:rsidR="00306B0E">
        <w:rPr>
          <w:rFonts w:hint="cs"/>
          <w:rtl/>
        </w:rPr>
        <w:t xml:space="preserve">. </w:t>
      </w:r>
      <w:r w:rsidR="00306B0E" w:rsidRPr="008965AB">
        <w:rPr>
          <w:rFonts w:hint="cs"/>
          <w:rtl/>
        </w:rPr>
        <w:t>תקנות מס הכנסה (ניכוי הוצאות רכב), התשנ"ה-1995, ק"ת586.</w:t>
      </w:r>
    </w:p>
    <w:p w:rsidR="00306B0E" w:rsidRDefault="00306B0E" w:rsidP="00306B0E">
      <w:pPr>
        <w:jc w:val="both"/>
        <w:rPr>
          <w:rFonts w:hint="cs"/>
          <w:rtl/>
        </w:rPr>
      </w:pPr>
    </w:p>
    <w:p w:rsidR="00306B0E" w:rsidRPr="008965AB" w:rsidRDefault="00FA580C" w:rsidP="00306B0E">
      <w:pPr>
        <w:jc w:val="both"/>
        <w:rPr>
          <w:rFonts w:hint="cs"/>
          <w:u w:val="single"/>
          <w:rtl/>
        </w:rPr>
      </w:pPr>
      <w:r>
        <w:rPr>
          <w:rFonts w:hint="cs"/>
          <w:rtl/>
        </w:rPr>
        <w:t>14</w:t>
      </w:r>
      <w:r w:rsidR="00306B0E">
        <w:rPr>
          <w:rFonts w:hint="cs"/>
          <w:rtl/>
        </w:rPr>
        <w:t xml:space="preserve">. </w:t>
      </w:r>
      <w:r w:rsidR="00306B0E" w:rsidRPr="008965AB">
        <w:rPr>
          <w:rFonts w:hint="cs"/>
          <w:rtl/>
        </w:rPr>
        <w:t>הצעת חוק יסוד: זכויות חברתיות, הצ"ח התשנ"ד, 337.</w:t>
      </w:r>
    </w:p>
    <w:p w:rsidR="00306B0E" w:rsidRDefault="00306B0E" w:rsidP="00306B0E">
      <w:pPr>
        <w:pStyle w:val="a5"/>
        <w:rPr>
          <w:rFonts w:hint="cs"/>
          <w:rtl/>
        </w:rPr>
      </w:pPr>
    </w:p>
    <w:p w:rsidR="00306B0E" w:rsidRPr="008965AB" w:rsidRDefault="00306B0E" w:rsidP="00306B0E">
      <w:pPr>
        <w:pStyle w:val="a5"/>
        <w:rPr>
          <w:rFonts w:hint="cs"/>
          <w:rtl/>
        </w:rPr>
      </w:pPr>
    </w:p>
    <w:p w:rsidR="00306B0E" w:rsidRPr="00F416C8" w:rsidRDefault="00306B0E" w:rsidP="00306B0E">
      <w:pPr>
        <w:spacing w:line="480" w:lineRule="auto"/>
        <w:jc w:val="both"/>
        <w:rPr>
          <w:rFonts w:hint="cs"/>
          <w:u w:val="single"/>
          <w:rtl/>
        </w:rPr>
      </w:pPr>
      <w:r w:rsidRPr="00F416C8">
        <w:rPr>
          <w:rFonts w:hint="cs"/>
          <w:u w:val="single"/>
          <w:rtl/>
        </w:rPr>
        <w:t>פסיקה</w:t>
      </w:r>
    </w:p>
    <w:p w:rsidR="00306B0E" w:rsidRPr="00F416C8" w:rsidRDefault="00306B0E" w:rsidP="00306B0E">
      <w:pPr>
        <w:jc w:val="both"/>
        <w:rPr>
          <w:rFonts w:hint="cs"/>
          <w:rtl/>
        </w:rPr>
      </w:pPr>
      <w:r w:rsidRPr="00F416C8">
        <w:rPr>
          <w:rFonts w:hint="cs"/>
          <w:rtl/>
        </w:rPr>
        <w:t xml:space="preserve">1. </w:t>
      </w:r>
      <w:r w:rsidRPr="00F416C8">
        <w:rPr>
          <w:rtl/>
        </w:rPr>
        <w:t xml:space="preserve">בג"צ 3/58 </w:t>
      </w:r>
      <w:r w:rsidRPr="00F416C8">
        <w:rPr>
          <w:b/>
          <w:bCs/>
          <w:rtl/>
        </w:rPr>
        <w:t>יונה ברמן</w:t>
      </w:r>
      <w:r w:rsidRPr="00F416C8">
        <w:rPr>
          <w:rFonts w:hint="cs"/>
          <w:b/>
          <w:bCs/>
          <w:rtl/>
        </w:rPr>
        <w:t xml:space="preserve"> </w:t>
      </w:r>
      <w:r w:rsidRPr="00F416C8">
        <w:rPr>
          <w:b/>
          <w:bCs/>
          <w:rtl/>
        </w:rPr>
        <w:t>ואח' נ' שר-הפנים</w:t>
      </w:r>
      <w:r w:rsidRPr="00F416C8">
        <w:rPr>
          <w:rFonts w:hint="cs"/>
          <w:rtl/>
        </w:rPr>
        <w:t xml:space="preserve">, </w:t>
      </w:r>
      <w:r w:rsidRPr="00F416C8">
        <w:rPr>
          <w:rtl/>
        </w:rPr>
        <w:t>פ"ד יב(2), 1493</w:t>
      </w:r>
      <w:r w:rsidRPr="00F416C8">
        <w:rPr>
          <w:rFonts w:hint="cs"/>
          <w:rtl/>
        </w:rPr>
        <w:t>.</w:t>
      </w:r>
    </w:p>
    <w:p w:rsidR="00306B0E" w:rsidRPr="00F416C8" w:rsidRDefault="00306B0E" w:rsidP="00306B0E">
      <w:pPr>
        <w:pStyle w:val="a5"/>
        <w:rPr>
          <w:rFonts w:hint="cs"/>
          <w:sz w:val="24"/>
          <w:szCs w:val="24"/>
          <w:rtl/>
        </w:rPr>
      </w:pPr>
    </w:p>
    <w:p w:rsidR="00306B0E" w:rsidRPr="00F416C8" w:rsidRDefault="00306B0E" w:rsidP="00306B0E">
      <w:pPr>
        <w:jc w:val="both"/>
        <w:rPr>
          <w:rFonts w:hint="cs"/>
          <w:u w:val="single"/>
          <w:rtl/>
        </w:rPr>
      </w:pPr>
      <w:r w:rsidRPr="00F416C8">
        <w:rPr>
          <w:rFonts w:hint="cs"/>
          <w:rtl/>
        </w:rPr>
        <w:t xml:space="preserve">2. בג"צ 301/63 </w:t>
      </w:r>
      <w:r w:rsidRPr="00712868">
        <w:rPr>
          <w:rFonts w:hint="cs"/>
          <w:b/>
          <w:bCs/>
          <w:rtl/>
        </w:rPr>
        <w:t>מרים שטרייט נ' הרב הראשי לישראל ואח'</w:t>
      </w:r>
      <w:r w:rsidRPr="00F416C8">
        <w:rPr>
          <w:rFonts w:hint="cs"/>
          <w:rtl/>
        </w:rPr>
        <w:t>, פ"ד יח(1) 598</w:t>
      </w:r>
    </w:p>
    <w:p w:rsidR="00306B0E" w:rsidRPr="00F416C8" w:rsidRDefault="00306B0E" w:rsidP="00306B0E">
      <w:pPr>
        <w:pStyle w:val="a5"/>
        <w:rPr>
          <w:rFonts w:hint="cs"/>
          <w:sz w:val="24"/>
          <w:szCs w:val="24"/>
          <w:rtl/>
        </w:rPr>
      </w:pPr>
    </w:p>
    <w:p w:rsidR="00306B0E" w:rsidRPr="00F416C8" w:rsidRDefault="00306B0E" w:rsidP="00306B0E">
      <w:pPr>
        <w:pStyle w:val="a5"/>
        <w:rPr>
          <w:rFonts w:hint="cs"/>
          <w:sz w:val="24"/>
          <w:szCs w:val="24"/>
          <w:rtl/>
        </w:rPr>
      </w:pPr>
      <w:r w:rsidRPr="00F416C8">
        <w:rPr>
          <w:rFonts w:hint="cs"/>
          <w:sz w:val="24"/>
          <w:szCs w:val="24"/>
          <w:rtl/>
        </w:rPr>
        <w:t xml:space="preserve">3. בג"צ 98/69 </w:t>
      </w:r>
      <w:r w:rsidRPr="00F416C8">
        <w:rPr>
          <w:rFonts w:hint="cs"/>
          <w:b/>
          <w:bCs/>
          <w:sz w:val="24"/>
          <w:szCs w:val="24"/>
          <w:rtl/>
        </w:rPr>
        <w:t xml:space="preserve">אהרון ברגמן נ' שר האוצר ואח', </w:t>
      </w:r>
      <w:r w:rsidRPr="00F416C8">
        <w:rPr>
          <w:rFonts w:hint="cs"/>
          <w:sz w:val="24"/>
          <w:szCs w:val="24"/>
          <w:rtl/>
        </w:rPr>
        <w:t>פד כג(1) 693.</w:t>
      </w:r>
    </w:p>
    <w:p w:rsidR="00306B0E" w:rsidRPr="00F416C8" w:rsidRDefault="00306B0E" w:rsidP="00306B0E">
      <w:pPr>
        <w:pStyle w:val="a5"/>
        <w:rPr>
          <w:rFonts w:hint="cs"/>
          <w:sz w:val="24"/>
          <w:szCs w:val="24"/>
          <w:rtl/>
        </w:rPr>
      </w:pPr>
    </w:p>
    <w:p w:rsidR="00306B0E" w:rsidRPr="00F416C8" w:rsidRDefault="00306B0E" w:rsidP="00306B0E">
      <w:pPr>
        <w:pStyle w:val="a5"/>
        <w:rPr>
          <w:rFonts w:hint="cs"/>
          <w:sz w:val="24"/>
          <w:szCs w:val="24"/>
          <w:rtl/>
        </w:rPr>
      </w:pPr>
      <w:r w:rsidRPr="00F416C8">
        <w:rPr>
          <w:rFonts w:hint="cs"/>
          <w:sz w:val="24"/>
          <w:szCs w:val="24"/>
          <w:rtl/>
        </w:rPr>
        <w:t xml:space="preserve">4. </w:t>
      </w:r>
      <w:r w:rsidRPr="00F416C8">
        <w:rPr>
          <w:sz w:val="24"/>
          <w:szCs w:val="24"/>
          <w:rtl/>
        </w:rPr>
        <w:t xml:space="preserve">בג"צ 596/75 - </w:t>
      </w:r>
      <w:r w:rsidRPr="00F416C8">
        <w:rPr>
          <w:b/>
          <w:bCs/>
          <w:sz w:val="24"/>
          <w:szCs w:val="24"/>
          <w:rtl/>
        </w:rPr>
        <w:t>מכבי תל-אביב אגודה לספורט נ' רשות השידור</w:t>
      </w:r>
      <w:r w:rsidRPr="00F416C8">
        <w:rPr>
          <w:rFonts w:hint="cs"/>
          <w:sz w:val="24"/>
          <w:szCs w:val="24"/>
          <w:rtl/>
        </w:rPr>
        <w:t>,</w:t>
      </w:r>
      <w:r w:rsidRPr="00F416C8">
        <w:rPr>
          <w:sz w:val="24"/>
          <w:szCs w:val="24"/>
          <w:rtl/>
        </w:rPr>
        <w:t xml:space="preserve"> פ"ד ל(1) 772</w:t>
      </w:r>
      <w:r w:rsidRPr="00F416C8">
        <w:rPr>
          <w:rFonts w:hint="cs"/>
          <w:sz w:val="24"/>
          <w:szCs w:val="24"/>
          <w:rtl/>
        </w:rPr>
        <w:t xml:space="preserve">. </w:t>
      </w:r>
    </w:p>
    <w:p w:rsidR="00306B0E" w:rsidRPr="00F416C8" w:rsidRDefault="00306B0E" w:rsidP="00306B0E">
      <w:pPr>
        <w:pStyle w:val="a5"/>
        <w:rPr>
          <w:rFonts w:hint="cs"/>
          <w:sz w:val="24"/>
          <w:szCs w:val="24"/>
          <w:rtl/>
        </w:rPr>
      </w:pPr>
    </w:p>
    <w:p w:rsidR="00306B0E" w:rsidRPr="00F416C8" w:rsidRDefault="00306B0E" w:rsidP="00306B0E">
      <w:pPr>
        <w:pStyle w:val="a5"/>
        <w:rPr>
          <w:rFonts w:hint="cs"/>
          <w:sz w:val="24"/>
          <w:szCs w:val="24"/>
          <w:rtl/>
        </w:rPr>
      </w:pPr>
      <w:r w:rsidRPr="00F416C8">
        <w:rPr>
          <w:rFonts w:hint="cs"/>
          <w:sz w:val="24"/>
          <w:szCs w:val="24"/>
          <w:rtl/>
        </w:rPr>
        <w:t xml:space="preserve">5. </w:t>
      </w:r>
      <w:r w:rsidRPr="00F416C8">
        <w:rPr>
          <w:rFonts w:hint="eastAsia"/>
          <w:sz w:val="24"/>
          <w:szCs w:val="24"/>
          <w:rtl/>
        </w:rPr>
        <w:t>בג</w:t>
      </w:r>
      <w:r w:rsidRPr="00F416C8">
        <w:rPr>
          <w:sz w:val="24"/>
          <w:szCs w:val="24"/>
          <w:rtl/>
        </w:rPr>
        <w:t>"</w:t>
      </w:r>
      <w:r w:rsidRPr="00F416C8">
        <w:rPr>
          <w:rFonts w:hint="eastAsia"/>
          <w:sz w:val="24"/>
          <w:szCs w:val="24"/>
          <w:rtl/>
        </w:rPr>
        <w:t>צ</w:t>
      </w:r>
      <w:r w:rsidRPr="00F416C8">
        <w:rPr>
          <w:sz w:val="24"/>
          <w:szCs w:val="24"/>
          <w:rtl/>
        </w:rPr>
        <w:t xml:space="preserve"> 389/80</w:t>
      </w:r>
      <w:r w:rsidRPr="00F416C8">
        <w:rPr>
          <w:b/>
          <w:bCs/>
          <w:sz w:val="24"/>
          <w:szCs w:val="24"/>
          <w:rtl/>
        </w:rPr>
        <w:t xml:space="preserve">  דפי זהב בע"</w:t>
      </w:r>
      <w:r w:rsidRPr="00F416C8">
        <w:rPr>
          <w:rFonts w:hint="eastAsia"/>
          <w:b/>
          <w:bCs/>
          <w:sz w:val="24"/>
          <w:szCs w:val="24"/>
          <w:rtl/>
        </w:rPr>
        <w:t>מ</w:t>
      </w:r>
      <w:r w:rsidRPr="00F416C8">
        <w:rPr>
          <w:b/>
          <w:bCs/>
          <w:sz w:val="24"/>
          <w:szCs w:val="24"/>
          <w:rtl/>
        </w:rPr>
        <w:t xml:space="preserve"> נ' רשות השידור ו-3 אח'</w:t>
      </w:r>
      <w:r w:rsidRPr="00F416C8">
        <w:rPr>
          <w:rFonts w:hint="cs"/>
          <w:sz w:val="24"/>
          <w:szCs w:val="24"/>
          <w:rtl/>
        </w:rPr>
        <w:t xml:space="preserve">, </w:t>
      </w:r>
      <w:r w:rsidRPr="00F416C8">
        <w:rPr>
          <w:sz w:val="24"/>
          <w:szCs w:val="24"/>
          <w:rtl/>
        </w:rPr>
        <w:t>פ"</w:t>
      </w:r>
      <w:r w:rsidRPr="00F416C8">
        <w:rPr>
          <w:rFonts w:hint="eastAsia"/>
          <w:sz w:val="24"/>
          <w:szCs w:val="24"/>
          <w:rtl/>
        </w:rPr>
        <w:t>ד</w:t>
      </w:r>
      <w:r w:rsidRPr="00F416C8">
        <w:rPr>
          <w:sz w:val="24"/>
          <w:szCs w:val="24"/>
          <w:rtl/>
        </w:rPr>
        <w:t xml:space="preserve"> לה(1) 421</w:t>
      </w:r>
      <w:r w:rsidRPr="00F416C8">
        <w:rPr>
          <w:rFonts w:hint="cs"/>
          <w:sz w:val="24"/>
          <w:szCs w:val="24"/>
          <w:rtl/>
        </w:rPr>
        <w:t>.</w:t>
      </w:r>
    </w:p>
    <w:p w:rsidR="00306B0E" w:rsidRPr="00F416C8" w:rsidRDefault="00306B0E" w:rsidP="00306B0E">
      <w:pPr>
        <w:jc w:val="both"/>
        <w:rPr>
          <w:rFonts w:hint="cs"/>
          <w:rtl/>
        </w:rPr>
      </w:pPr>
    </w:p>
    <w:p w:rsidR="00306B0E" w:rsidRPr="00F416C8" w:rsidRDefault="00306B0E" w:rsidP="00306B0E">
      <w:pPr>
        <w:jc w:val="both"/>
        <w:rPr>
          <w:rFonts w:hint="cs"/>
          <w:u w:val="single"/>
          <w:rtl/>
        </w:rPr>
      </w:pPr>
      <w:r w:rsidRPr="00F416C8">
        <w:rPr>
          <w:rFonts w:hint="cs"/>
          <w:rtl/>
        </w:rPr>
        <w:t xml:space="preserve">6. </w:t>
      </w:r>
      <w:r w:rsidRPr="00F416C8">
        <w:rPr>
          <w:rtl/>
        </w:rPr>
        <w:t>בג</w:t>
      </w:r>
      <w:r w:rsidRPr="00F416C8">
        <w:rPr>
          <w:rFonts w:hint="cs"/>
          <w:rtl/>
        </w:rPr>
        <w:t>"</w:t>
      </w:r>
      <w:r w:rsidRPr="00F416C8">
        <w:rPr>
          <w:rtl/>
        </w:rPr>
        <w:t xml:space="preserve">צ 82 / 198 </w:t>
      </w:r>
      <w:r w:rsidRPr="00F416C8">
        <w:rPr>
          <w:b/>
          <w:bCs/>
          <w:rtl/>
        </w:rPr>
        <w:t>בן ציון מוניץ נ' בנק ישראל</w:t>
      </w:r>
      <w:r w:rsidRPr="00F416C8">
        <w:rPr>
          <w:rFonts w:hint="cs"/>
          <w:b/>
          <w:bCs/>
          <w:rtl/>
        </w:rPr>
        <w:t xml:space="preserve">, </w:t>
      </w:r>
      <w:r w:rsidRPr="00F416C8">
        <w:rPr>
          <w:rFonts w:hint="cs"/>
          <w:rtl/>
        </w:rPr>
        <w:t>פ"ד</w:t>
      </w:r>
      <w:r w:rsidRPr="00F416C8">
        <w:rPr>
          <w:rtl/>
        </w:rPr>
        <w:t xml:space="preserve"> לו (3) 466</w:t>
      </w:r>
      <w:r w:rsidRPr="00F416C8">
        <w:rPr>
          <w:rFonts w:hint="cs"/>
          <w:rtl/>
        </w:rPr>
        <w:t>.</w:t>
      </w:r>
    </w:p>
    <w:p w:rsidR="00306B0E" w:rsidRPr="00F416C8" w:rsidRDefault="00306B0E" w:rsidP="00306B0E">
      <w:pPr>
        <w:jc w:val="both"/>
        <w:rPr>
          <w:rFonts w:hint="cs"/>
          <w:rtl/>
        </w:rPr>
      </w:pPr>
    </w:p>
    <w:p w:rsidR="00306B0E" w:rsidRPr="00F416C8" w:rsidRDefault="00306B0E" w:rsidP="00306B0E">
      <w:pPr>
        <w:jc w:val="both"/>
        <w:rPr>
          <w:rFonts w:hint="cs"/>
          <w:u w:val="single"/>
          <w:rtl/>
        </w:rPr>
      </w:pPr>
      <w:r w:rsidRPr="00F416C8">
        <w:rPr>
          <w:rFonts w:hint="cs"/>
          <w:rtl/>
        </w:rPr>
        <w:t xml:space="preserve">7. בג"צ 104/87 </w:t>
      </w:r>
      <w:r w:rsidRPr="00F416C8">
        <w:rPr>
          <w:rFonts w:hint="cs"/>
          <w:b/>
          <w:bCs/>
          <w:rtl/>
        </w:rPr>
        <w:t xml:space="preserve">נעמי נבו נ' ביה"ד הארצי לעבודה, </w:t>
      </w:r>
      <w:r w:rsidRPr="00F416C8">
        <w:rPr>
          <w:rFonts w:hint="cs"/>
          <w:rtl/>
        </w:rPr>
        <w:t>פד מד(4) 749</w:t>
      </w:r>
    </w:p>
    <w:p w:rsidR="00306B0E" w:rsidRPr="00F416C8" w:rsidRDefault="00306B0E" w:rsidP="00306B0E">
      <w:pPr>
        <w:jc w:val="both"/>
        <w:rPr>
          <w:rFonts w:hint="cs"/>
          <w:rtl/>
        </w:rPr>
      </w:pPr>
    </w:p>
    <w:p w:rsidR="00306B0E" w:rsidRPr="00F416C8" w:rsidRDefault="00306B0E" w:rsidP="00306B0E">
      <w:pPr>
        <w:jc w:val="both"/>
        <w:rPr>
          <w:rFonts w:hint="cs"/>
          <w:u w:val="single"/>
          <w:rtl/>
        </w:rPr>
      </w:pPr>
      <w:r w:rsidRPr="00F416C8">
        <w:rPr>
          <w:rFonts w:hint="cs"/>
          <w:rtl/>
        </w:rPr>
        <w:t xml:space="preserve">8. בג"צ 953/87 </w:t>
      </w:r>
      <w:r w:rsidRPr="00F416C8">
        <w:rPr>
          <w:rFonts w:hint="cs"/>
          <w:b/>
          <w:bCs/>
          <w:rtl/>
        </w:rPr>
        <w:t xml:space="preserve">אברהם פורז נ' ראש עיריית תל-אביב-יפו ואח', </w:t>
      </w:r>
      <w:r w:rsidRPr="00F416C8">
        <w:rPr>
          <w:rFonts w:hint="cs"/>
          <w:rtl/>
        </w:rPr>
        <w:t>פ"ד מב(2) 309</w:t>
      </w:r>
    </w:p>
    <w:p w:rsidR="00306B0E" w:rsidRPr="00F416C8" w:rsidRDefault="00306B0E" w:rsidP="00306B0E">
      <w:pPr>
        <w:jc w:val="both"/>
        <w:rPr>
          <w:rFonts w:hint="cs"/>
          <w:rtl/>
        </w:rPr>
      </w:pPr>
    </w:p>
    <w:p w:rsidR="00306B0E" w:rsidRPr="00F416C8" w:rsidRDefault="00306B0E" w:rsidP="00306B0E">
      <w:pPr>
        <w:jc w:val="both"/>
        <w:rPr>
          <w:rFonts w:hint="cs"/>
          <w:rtl/>
        </w:rPr>
      </w:pPr>
      <w:r w:rsidRPr="00F416C8">
        <w:rPr>
          <w:rFonts w:hint="cs"/>
          <w:rtl/>
        </w:rPr>
        <w:t xml:space="preserve">9. </w:t>
      </w:r>
      <w:r w:rsidRPr="00F416C8">
        <w:rPr>
          <w:rtl/>
        </w:rPr>
        <w:t xml:space="preserve">בג"צ 381/91 </w:t>
      </w:r>
      <w:r w:rsidRPr="00F416C8">
        <w:rPr>
          <w:b/>
          <w:bCs/>
          <w:rtl/>
        </w:rPr>
        <w:t>לאה גרוס נ' משרד החינוך  והתרבות ו-2 אח'</w:t>
      </w:r>
      <w:r w:rsidRPr="00F416C8">
        <w:rPr>
          <w:rFonts w:hint="cs"/>
          <w:rtl/>
        </w:rPr>
        <w:t>,</w:t>
      </w:r>
      <w:r w:rsidRPr="00F416C8">
        <w:rPr>
          <w:rtl/>
        </w:rPr>
        <w:t xml:space="preserve"> פ"ד מו(1) 53</w:t>
      </w:r>
      <w:r w:rsidRPr="00F416C8">
        <w:rPr>
          <w:rFonts w:hint="cs"/>
          <w:rtl/>
        </w:rPr>
        <w:t>.</w:t>
      </w:r>
    </w:p>
    <w:p w:rsidR="00306B0E" w:rsidRPr="00F416C8" w:rsidRDefault="00306B0E" w:rsidP="00306B0E">
      <w:pPr>
        <w:jc w:val="both"/>
        <w:rPr>
          <w:rFonts w:hint="cs"/>
          <w:rtl/>
        </w:rPr>
      </w:pPr>
    </w:p>
    <w:p w:rsidR="00306B0E" w:rsidRPr="00F416C8" w:rsidRDefault="00306B0E" w:rsidP="00306B0E">
      <w:pPr>
        <w:jc w:val="both"/>
        <w:rPr>
          <w:rFonts w:hint="cs"/>
          <w:u w:val="single"/>
          <w:rtl/>
        </w:rPr>
      </w:pPr>
      <w:r w:rsidRPr="00F416C8">
        <w:rPr>
          <w:rFonts w:hint="cs"/>
          <w:rtl/>
        </w:rPr>
        <w:t xml:space="preserve">10. בג"צ 1074/93 </w:t>
      </w:r>
      <w:r w:rsidRPr="00F416C8">
        <w:rPr>
          <w:rFonts w:hint="cs"/>
          <w:b/>
          <w:bCs/>
          <w:rtl/>
        </w:rPr>
        <w:t xml:space="preserve">בזק ואח' נ' בית הדין הארצי לעבודה ואח', </w:t>
      </w:r>
      <w:r w:rsidRPr="00F416C8">
        <w:rPr>
          <w:rFonts w:hint="cs"/>
          <w:rtl/>
        </w:rPr>
        <w:t>פ"ד מט(2) 485</w:t>
      </w:r>
    </w:p>
    <w:p w:rsidR="00306B0E" w:rsidRPr="00F416C8" w:rsidRDefault="00306B0E" w:rsidP="00306B0E">
      <w:pPr>
        <w:jc w:val="both"/>
        <w:rPr>
          <w:rFonts w:hint="cs"/>
          <w:rtl/>
        </w:rPr>
      </w:pPr>
    </w:p>
    <w:p w:rsidR="00306B0E" w:rsidRPr="00F416C8" w:rsidRDefault="00306B0E" w:rsidP="00306B0E">
      <w:pPr>
        <w:jc w:val="both"/>
        <w:rPr>
          <w:rFonts w:hint="cs"/>
          <w:rtl/>
        </w:rPr>
      </w:pPr>
      <w:r w:rsidRPr="00F416C8">
        <w:rPr>
          <w:rFonts w:hint="cs"/>
          <w:rtl/>
        </w:rPr>
        <w:t xml:space="preserve">11. בג"צ 1683/93 </w:t>
      </w:r>
      <w:r w:rsidRPr="00F416C8">
        <w:rPr>
          <w:rFonts w:hint="cs"/>
          <w:b/>
          <w:bCs/>
          <w:rtl/>
        </w:rPr>
        <w:t xml:space="preserve">יבין פלסט בע"מ ואח' נ' בית הדין לעבודה ואח', </w:t>
      </w:r>
      <w:r w:rsidRPr="00F416C8">
        <w:rPr>
          <w:rFonts w:hint="cs"/>
          <w:rtl/>
        </w:rPr>
        <w:t>פ"ד מז(4) 702.</w:t>
      </w:r>
    </w:p>
    <w:p w:rsidR="00306B0E" w:rsidRPr="00F416C8" w:rsidRDefault="00306B0E" w:rsidP="00306B0E">
      <w:pPr>
        <w:jc w:val="both"/>
        <w:rPr>
          <w:rFonts w:hint="cs"/>
          <w:rtl/>
        </w:rPr>
      </w:pPr>
    </w:p>
    <w:p w:rsidR="00306B0E" w:rsidRPr="00F416C8" w:rsidRDefault="00306B0E" w:rsidP="00306B0E">
      <w:pPr>
        <w:jc w:val="both"/>
        <w:rPr>
          <w:rFonts w:hint="cs"/>
          <w:u w:val="single"/>
          <w:rtl/>
        </w:rPr>
      </w:pPr>
      <w:r w:rsidRPr="00F416C8">
        <w:rPr>
          <w:rFonts w:hint="cs"/>
          <w:rtl/>
        </w:rPr>
        <w:t xml:space="preserve">12. בג"צ 53/94 </w:t>
      </w:r>
      <w:r w:rsidRPr="00F416C8">
        <w:rPr>
          <w:rFonts w:hint="cs"/>
          <w:b/>
          <w:bCs/>
          <w:rtl/>
        </w:rPr>
        <w:t xml:space="preserve">אורי הופרט נ' "יד ושם", רשות הזכרון לשואה ולגבורה, </w:t>
      </w:r>
      <w:r w:rsidRPr="00F416C8">
        <w:rPr>
          <w:rFonts w:hint="cs"/>
          <w:rtl/>
        </w:rPr>
        <w:t>פ"ד מח(3) 353.</w:t>
      </w:r>
    </w:p>
    <w:p w:rsidR="00306B0E" w:rsidRPr="00F416C8" w:rsidRDefault="00306B0E" w:rsidP="00306B0E">
      <w:pPr>
        <w:jc w:val="both"/>
        <w:rPr>
          <w:rFonts w:hint="cs"/>
          <w:rtl/>
        </w:rPr>
      </w:pPr>
    </w:p>
    <w:p w:rsidR="00306B0E" w:rsidRPr="00F416C8" w:rsidRDefault="00306B0E" w:rsidP="00306B0E">
      <w:pPr>
        <w:jc w:val="both"/>
        <w:rPr>
          <w:rFonts w:hint="cs"/>
          <w:u w:val="single"/>
          <w:rtl/>
        </w:rPr>
      </w:pPr>
      <w:r w:rsidRPr="00F416C8">
        <w:rPr>
          <w:rFonts w:hint="cs"/>
          <w:rtl/>
        </w:rPr>
        <w:t xml:space="preserve">13. בג"צ 453/94 </w:t>
      </w:r>
      <w:r w:rsidRPr="00F416C8">
        <w:rPr>
          <w:rFonts w:hint="cs"/>
          <w:b/>
          <w:bCs/>
          <w:rtl/>
        </w:rPr>
        <w:t xml:space="preserve">שדולת הנשים בישראל נ' ממשלת ישראל ואח', </w:t>
      </w:r>
      <w:r w:rsidRPr="00F416C8">
        <w:rPr>
          <w:rFonts w:hint="cs"/>
          <w:rtl/>
        </w:rPr>
        <w:t>פ"ד מח(5) 501</w:t>
      </w:r>
    </w:p>
    <w:p w:rsidR="00306B0E" w:rsidRPr="00F416C8" w:rsidRDefault="00306B0E" w:rsidP="00306B0E">
      <w:pPr>
        <w:jc w:val="both"/>
        <w:rPr>
          <w:rFonts w:hint="cs"/>
          <w:rtl/>
        </w:rPr>
      </w:pPr>
    </w:p>
    <w:p w:rsidR="00306B0E" w:rsidRPr="00F416C8" w:rsidRDefault="00306B0E" w:rsidP="00306B0E">
      <w:pPr>
        <w:jc w:val="both"/>
        <w:rPr>
          <w:rFonts w:hint="cs"/>
          <w:u w:val="single"/>
          <w:rtl/>
        </w:rPr>
      </w:pPr>
      <w:r w:rsidRPr="00F416C8">
        <w:rPr>
          <w:rFonts w:hint="cs"/>
          <w:rtl/>
        </w:rPr>
        <w:t xml:space="preserve">14. בג"צ 721/94 </w:t>
      </w:r>
      <w:r w:rsidRPr="00F416C8">
        <w:rPr>
          <w:rFonts w:hint="cs"/>
          <w:b/>
          <w:bCs/>
          <w:rtl/>
        </w:rPr>
        <w:t xml:space="preserve">אל-על נתיבי אויר לישראל בע"מ נ' יונתן דנילוביץ' וביה"ד הארצי לעבודה, </w:t>
      </w:r>
      <w:r w:rsidRPr="00F416C8">
        <w:rPr>
          <w:rFonts w:hint="cs"/>
          <w:rtl/>
        </w:rPr>
        <w:t>פ"ד מח(5) 749</w:t>
      </w:r>
    </w:p>
    <w:p w:rsidR="00306B0E" w:rsidRPr="00F416C8" w:rsidRDefault="00306B0E" w:rsidP="00306B0E">
      <w:pPr>
        <w:jc w:val="both"/>
        <w:rPr>
          <w:rFonts w:hint="cs"/>
          <w:rtl/>
        </w:rPr>
      </w:pPr>
    </w:p>
    <w:p w:rsidR="00306B0E" w:rsidRPr="00F416C8" w:rsidRDefault="00306B0E" w:rsidP="00306B0E">
      <w:pPr>
        <w:jc w:val="both"/>
        <w:rPr>
          <w:rFonts w:hint="cs"/>
          <w:rtl/>
        </w:rPr>
      </w:pPr>
      <w:r w:rsidRPr="00F416C8">
        <w:rPr>
          <w:rFonts w:hint="cs"/>
          <w:rtl/>
        </w:rPr>
        <w:t xml:space="preserve">15. </w:t>
      </w:r>
      <w:r w:rsidRPr="00F416C8">
        <w:rPr>
          <w:rFonts w:hint="eastAsia"/>
          <w:rtl/>
        </w:rPr>
        <w:t>בע</w:t>
      </w:r>
      <w:r w:rsidRPr="00F416C8">
        <w:rPr>
          <w:rtl/>
        </w:rPr>
        <w:t>"</w:t>
      </w:r>
      <w:r w:rsidRPr="00F416C8">
        <w:rPr>
          <w:rFonts w:hint="eastAsia"/>
          <w:rtl/>
        </w:rPr>
        <w:t>א</w:t>
      </w:r>
      <w:r w:rsidRPr="00F416C8">
        <w:rPr>
          <w:rtl/>
        </w:rPr>
        <w:t xml:space="preserve"> 5042/96 </w:t>
      </w:r>
      <w:r w:rsidRPr="00F416C8">
        <w:rPr>
          <w:b/>
          <w:bCs/>
          <w:rtl/>
        </w:rPr>
        <w:t>פנחס כהן נ' מינהל מקרקעי ישראל</w:t>
      </w:r>
      <w:r w:rsidRPr="00F416C8">
        <w:rPr>
          <w:rFonts w:hint="cs"/>
          <w:rtl/>
        </w:rPr>
        <w:t xml:space="preserve">, </w:t>
      </w:r>
      <w:r w:rsidRPr="00F416C8">
        <w:rPr>
          <w:rtl/>
        </w:rPr>
        <w:t>תק-על 99(1) 15</w:t>
      </w:r>
      <w:r w:rsidRPr="00F416C8">
        <w:rPr>
          <w:rFonts w:hint="cs"/>
          <w:rtl/>
        </w:rPr>
        <w:t>8</w:t>
      </w:r>
      <w:r w:rsidRPr="00F416C8">
        <w:rPr>
          <w:rtl/>
        </w:rPr>
        <w:t>.</w:t>
      </w:r>
    </w:p>
    <w:p w:rsidR="00306B0E" w:rsidRPr="00F416C8" w:rsidRDefault="00306B0E" w:rsidP="00306B0E">
      <w:pPr>
        <w:pStyle w:val="a5"/>
        <w:rPr>
          <w:rFonts w:hint="cs"/>
          <w:sz w:val="24"/>
          <w:szCs w:val="24"/>
          <w:rtl/>
        </w:rPr>
      </w:pPr>
    </w:p>
    <w:p w:rsidR="00306B0E" w:rsidRPr="00F416C8" w:rsidRDefault="00306B0E" w:rsidP="00306B0E">
      <w:pPr>
        <w:pStyle w:val="a5"/>
        <w:rPr>
          <w:rFonts w:hint="cs"/>
          <w:sz w:val="24"/>
          <w:szCs w:val="24"/>
        </w:rPr>
      </w:pPr>
      <w:r w:rsidRPr="00F416C8">
        <w:rPr>
          <w:rFonts w:hint="cs"/>
          <w:sz w:val="24"/>
          <w:szCs w:val="24"/>
          <w:rtl/>
        </w:rPr>
        <w:t xml:space="preserve">16. </w:t>
      </w:r>
      <w:r w:rsidRPr="00F416C8">
        <w:rPr>
          <w:sz w:val="24"/>
          <w:szCs w:val="24"/>
          <w:rtl/>
        </w:rPr>
        <w:t>בג</w:t>
      </w:r>
      <w:r w:rsidRPr="00F416C8">
        <w:rPr>
          <w:rFonts w:hint="cs"/>
          <w:sz w:val="24"/>
          <w:szCs w:val="24"/>
          <w:rtl/>
        </w:rPr>
        <w:t>"</w:t>
      </w:r>
      <w:r w:rsidRPr="00F416C8">
        <w:rPr>
          <w:sz w:val="24"/>
          <w:szCs w:val="24"/>
          <w:rtl/>
        </w:rPr>
        <w:t xml:space="preserve">צ 96 / 5060 </w:t>
      </w:r>
      <w:r w:rsidRPr="00F416C8">
        <w:rPr>
          <w:b/>
          <w:bCs/>
          <w:sz w:val="24"/>
          <w:szCs w:val="24"/>
          <w:rtl/>
        </w:rPr>
        <w:t>רס"מ בת שבע קהלני נ' ראש-הממשלה</w:t>
      </w:r>
      <w:r w:rsidRPr="00F416C8">
        <w:rPr>
          <w:rFonts w:hint="cs"/>
          <w:b/>
          <w:bCs/>
          <w:sz w:val="24"/>
          <w:szCs w:val="24"/>
          <w:rtl/>
        </w:rPr>
        <w:t>,</w:t>
      </w:r>
      <w:r w:rsidRPr="00F416C8">
        <w:rPr>
          <w:b/>
          <w:bCs/>
          <w:sz w:val="24"/>
          <w:szCs w:val="24"/>
          <w:rtl/>
        </w:rPr>
        <w:t xml:space="preserve"> </w:t>
      </w:r>
      <w:r w:rsidRPr="00F416C8">
        <w:rPr>
          <w:sz w:val="24"/>
          <w:szCs w:val="24"/>
          <w:rtl/>
        </w:rPr>
        <w:t>נד (3) 270</w:t>
      </w:r>
      <w:r w:rsidRPr="00F416C8">
        <w:rPr>
          <w:rFonts w:hint="cs"/>
          <w:b/>
          <w:bCs/>
          <w:sz w:val="24"/>
          <w:szCs w:val="24"/>
          <w:rtl/>
        </w:rPr>
        <w:t>.</w:t>
      </w:r>
    </w:p>
    <w:p w:rsidR="00306B0E" w:rsidRPr="00F416C8" w:rsidRDefault="00306B0E" w:rsidP="00306B0E">
      <w:pPr>
        <w:pStyle w:val="a5"/>
        <w:rPr>
          <w:rFonts w:hint="cs"/>
          <w:sz w:val="24"/>
          <w:szCs w:val="24"/>
          <w:rtl/>
        </w:rPr>
      </w:pPr>
    </w:p>
    <w:p w:rsidR="00306B0E" w:rsidRPr="00F416C8" w:rsidRDefault="00306B0E" w:rsidP="00306B0E">
      <w:pPr>
        <w:pStyle w:val="a5"/>
        <w:rPr>
          <w:rFonts w:hint="cs"/>
          <w:sz w:val="24"/>
          <w:szCs w:val="24"/>
          <w:rtl/>
        </w:rPr>
      </w:pPr>
      <w:r w:rsidRPr="00F416C8">
        <w:rPr>
          <w:rFonts w:hint="cs"/>
          <w:sz w:val="24"/>
          <w:szCs w:val="24"/>
          <w:rtl/>
        </w:rPr>
        <w:t xml:space="preserve">17. ע"א 545/59 </w:t>
      </w:r>
      <w:r w:rsidRPr="00F416C8">
        <w:rPr>
          <w:rFonts w:hint="cs"/>
          <w:b/>
          <w:bCs/>
          <w:sz w:val="24"/>
          <w:szCs w:val="24"/>
          <w:rtl/>
        </w:rPr>
        <w:t xml:space="preserve">דן אגודה שיתופית בע"מ נ' פיש ת"א, </w:t>
      </w:r>
      <w:r w:rsidRPr="00F416C8">
        <w:rPr>
          <w:rFonts w:hint="cs"/>
          <w:sz w:val="24"/>
          <w:szCs w:val="24"/>
          <w:rtl/>
        </w:rPr>
        <w:t>פ"ד יד(3) 2088.</w:t>
      </w:r>
    </w:p>
    <w:p w:rsidR="00306B0E" w:rsidRPr="00F416C8" w:rsidRDefault="00306B0E" w:rsidP="00306B0E">
      <w:pPr>
        <w:jc w:val="both"/>
        <w:rPr>
          <w:rFonts w:hint="cs"/>
          <w:rtl/>
        </w:rPr>
      </w:pPr>
    </w:p>
    <w:p w:rsidR="00306B0E" w:rsidRPr="00F416C8" w:rsidRDefault="00306B0E" w:rsidP="00306B0E">
      <w:pPr>
        <w:pStyle w:val="a5"/>
        <w:rPr>
          <w:rFonts w:hint="cs"/>
          <w:sz w:val="24"/>
          <w:szCs w:val="24"/>
          <w:rtl/>
        </w:rPr>
      </w:pPr>
      <w:r w:rsidRPr="00F416C8">
        <w:rPr>
          <w:rFonts w:hint="cs"/>
          <w:sz w:val="24"/>
          <w:szCs w:val="24"/>
          <w:rtl/>
        </w:rPr>
        <w:t xml:space="preserve">18. ע"א 5378/90 </w:t>
      </w:r>
      <w:r w:rsidRPr="00F416C8">
        <w:rPr>
          <w:rFonts w:hint="cs"/>
          <w:b/>
          <w:bCs/>
          <w:sz w:val="24"/>
          <w:szCs w:val="24"/>
          <w:rtl/>
        </w:rPr>
        <w:t>התאגדות לתרבות גופנית, הפועל טבריה נ' פ"ש טבריה</w:t>
      </w:r>
      <w:r w:rsidRPr="00F416C8">
        <w:rPr>
          <w:rFonts w:hint="cs"/>
          <w:sz w:val="24"/>
          <w:szCs w:val="24"/>
          <w:rtl/>
        </w:rPr>
        <w:t>, פ"ד מח(2) 416.</w:t>
      </w:r>
    </w:p>
    <w:p w:rsidR="00306B0E" w:rsidRPr="00F416C8" w:rsidRDefault="00306B0E" w:rsidP="00306B0E">
      <w:pPr>
        <w:jc w:val="both"/>
        <w:rPr>
          <w:rFonts w:hint="cs"/>
          <w:rtl/>
        </w:rPr>
      </w:pPr>
      <w:r w:rsidRPr="00F416C8">
        <w:rPr>
          <w:rFonts w:hint="cs"/>
          <w:rtl/>
        </w:rPr>
        <w:t xml:space="preserve"> </w:t>
      </w:r>
    </w:p>
    <w:p w:rsidR="00306B0E" w:rsidRPr="00F416C8" w:rsidRDefault="00306B0E" w:rsidP="00306B0E">
      <w:pPr>
        <w:pStyle w:val="a5"/>
        <w:rPr>
          <w:rFonts w:hint="cs"/>
          <w:sz w:val="24"/>
          <w:szCs w:val="24"/>
        </w:rPr>
      </w:pPr>
      <w:r w:rsidRPr="00F416C8">
        <w:rPr>
          <w:rFonts w:hint="cs"/>
          <w:sz w:val="24"/>
          <w:szCs w:val="24"/>
          <w:rtl/>
        </w:rPr>
        <w:t xml:space="preserve">19. ע"ב 2/88 </w:t>
      </w:r>
      <w:r w:rsidRPr="00F416C8">
        <w:rPr>
          <w:rFonts w:hint="cs"/>
          <w:b/>
          <w:bCs/>
          <w:sz w:val="24"/>
          <w:szCs w:val="24"/>
          <w:rtl/>
        </w:rPr>
        <w:t xml:space="preserve">יהורם בן שלום ואח' נ' ועדת הבחירות המרכזית לכנסת השתים-עשרה, </w:t>
      </w:r>
      <w:r w:rsidRPr="00F416C8">
        <w:rPr>
          <w:rFonts w:hint="cs"/>
          <w:sz w:val="24"/>
          <w:szCs w:val="24"/>
          <w:rtl/>
        </w:rPr>
        <w:t>פ"ד מג(4) 221.</w:t>
      </w:r>
    </w:p>
    <w:p w:rsidR="00306B0E" w:rsidRPr="00F416C8" w:rsidRDefault="00306B0E" w:rsidP="00306B0E">
      <w:pPr>
        <w:pStyle w:val="a5"/>
        <w:rPr>
          <w:rFonts w:hint="cs"/>
          <w:sz w:val="24"/>
          <w:szCs w:val="24"/>
          <w:rtl/>
        </w:rPr>
      </w:pPr>
    </w:p>
    <w:p w:rsidR="00306B0E" w:rsidRPr="00F416C8" w:rsidRDefault="00306B0E" w:rsidP="00306B0E">
      <w:pPr>
        <w:pStyle w:val="a5"/>
        <w:rPr>
          <w:rFonts w:hint="cs"/>
          <w:sz w:val="24"/>
          <w:szCs w:val="24"/>
          <w:rtl/>
        </w:rPr>
      </w:pPr>
      <w:r w:rsidRPr="00F416C8">
        <w:rPr>
          <w:rFonts w:hint="cs"/>
          <w:sz w:val="24"/>
          <w:szCs w:val="24"/>
          <w:rtl/>
        </w:rPr>
        <w:t xml:space="preserve">20. עמ"ה (חי') 20/76 </w:t>
      </w:r>
      <w:r w:rsidRPr="00F416C8">
        <w:rPr>
          <w:rFonts w:hint="cs"/>
          <w:b/>
          <w:bCs/>
          <w:sz w:val="24"/>
          <w:szCs w:val="24"/>
          <w:rtl/>
        </w:rPr>
        <w:t xml:space="preserve">רזניק נ' פ"ש חיפה, </w:t>
      </w:r>
      <w:r w:rsidRPr="00F416C8">
        <w:rPr>
          <w:rFonts w:hint="cs"/>
          <w:sz w:val="24"/>
          <w:szCs w:val="24"/>
          <w:rtl/>
        </w:rPr>
        <w:t>פד"א ח 473.</w:t>
      </w:r>
    </w:p>
    <w:p w:rsidR="00306B0E" w:rsidRPr="00F416C8" w:rsidRDefault="00306B0E" w:rsidP="00306B0E">
      <w:pPr>
        <w:jc w:val="both"/>
        <w:rPr>
          <w:rFonts w:hint="cs"/>
          <w:rtl/>
        </w:rPr>
      </w:pPr>
    </w:p>
    <w:p w:rsidR="00306B0E" w:rsidRPr="00F416C8" w:rsidRDefault="00306B0E" w:rsidP="00306B0E">
      <w:pPr>
        <w:jc w:val="both"/>
        <w:rPr>
          <w:rFonts w:hint="cs"/>
          <w:rtl/>
        </w:rPr>
      </w:pPr>
      <w:r w:rsidRPr="00F416C8">
        <w:rPr>
          <w:rFonts w:hint="cs"/>
          <w:rtl/>
        </w:rPr>
        <w:t xml:space="preserve">21. עמ"ה (חי') 134/92 </w:t>
      </w:r>
      <w:r w:rsidRPr="00F416C8">
        <w:rPr>
          <w:rFonts w:hint="cs"/>
          <w:b/>
          <w:bCs/>
          <w:rtl/>
        </w:rPr>
        <w:t xml:space="preserve">מחאג'נה יוסף נ' פ"ש חדרה, מיסים </w:t>
      </w:r>
      <w:r w:rsidRPr="00F416C8">
        <w:rPr>
          <w:rFonts w:hint="cs"/>
          <w:rtl/>
        </w:rPr>
        <w:t>ט/3 ה-15.</w:t>
      </w:r>
    </w:p>
    <w:p w:rsidR="00306B0E" w:rsidRPr="00F416C8" w:rsidRDefault="00306B0E" w:rsidP="00306B0E">
      <w:pPr>
        <w:pStyle w:val="a5"/>
        <w:rPr>
          <w:rFonts w:hint="cs"/>
          <w:sz w:val="24"/>
          <w:szCs w:val="24"/>
          <w:rtl/>
        </w:rPr>
      </w:pPr>
    </w:p>
    <w:p w:rsidR="00306B0E" w:rsidRPr="00F416C8" w:rsidRDefault="00306B0E" w:rsidP="00306B0E">
      <w:pPr>
        <w:jc w:val="both"/>
        <w:rPr>
          <w:rFonts w:hint="cs"/>
          <w:u w:val="single"/>
          <w:rtl/>
        </w:rPr>
      </w:pPr>
      <w:r w:rsidRPr="00F416C8">
        <w:rPr>
          <w:rFonts w:hint="cs"/>
          <w:rtl/>
        </w:rPr>
        <w:t xml:space="preserve">22. דב"ע לג/3-25 </w:t>
      </w:r>
      <w:r w:rsidRPr="00F416C8">
        <w:rPr>
          <w:rFonts w:hint="cs"/>
          <w:b/>
          <w:bCs/>
          <w:rtl/>
        </w:rPr>
        <w:t xml:space="preserve">ועד אנשי צוות דיילי אויר ואח' נ' עדנה חזין ואח', </w:t>
      </w:r>
      <w:r w:rsidRPr="00F416C8">
        <w:rPr>
          <w:rFonts w:hint="cs"/>
          <w:rtl/>
        </w:rPr>
        <w:t>פד"ע ד 365</w:t>
      </w:r>
    </w:p>
    <w:p w:rsidR="00306B0E" w:rsidRPr="00F416C8" w:rsidRDefault="00306B0E" w:rsidP="00306B0E">
      <w:pPr>
        <w:jc w:val="both"/>
        <w:rPr>
          <w:rFonts w:hint="cs"/>
          <w:rtl/>
        </w:rPr>
      </w:pPr>
    </w:p>
    <w:p w:rsidR="00306B0E" w:rsidRPr="00F416C8" w:rsidRDefault="00306B0E" w:rsidP="00306B0E">
      <w:pPr>
        <w:pStyle w:val="a5"/>
        <w:rPr>
          <w:rFonts w:hint="cs"/>
          <w:sz w:val="24"/>
          <w:szCs w:val="24"/>
          <w:rtl/>
        </w:rPr>
      </w:pPr>
      <w:r w:rsidRPr="00F416C8">
        <w:rPr>
          <w:rFonts w:hint="cs"/>
          <w:sz w:val="24"/>
          <w:szCs w:val="24"/>
          <w:rtl/>
        </w:rPr>
        <w:t xml:space="preserve">23. דב"ע נה/4-30 </w:t>
      </w:r>
      <w:r w:rsidRPr="00F416C8">
        <w:rPr>
          <w:rFonts w:hint="cs"/>
          <w:b/>
          <w:bCs/>
          <w:sz w:val="24"/>
          <w:szCs w:val="24"/>
          <w:rtl/>
        </w:rPr>
        <w:t xml:space="preserve">"עמית" </w:t>
      </w:r>
      <w:r w:rsidRPr="00F416C8">
        <w:rPr>
          <w:b/>
          <w:bCs/>
          <w:sz w:val="24"/>
          <w:szCs w:val="24"/>
          <w:rtl/>
        </w:rPr>
        <w:t>–</w:t>
      </w:r>
      <w:r w:rsidRPr="00F416C8">
        <w:rPr>
          <w:rFonts w:hint="cs"/>
          <w:b/>
          <w:bCs/>
          <w:sz w:val="24"/>
          <w:szCs w:val="24"/>
          <w:rtl/>
        </w:rPr>
        <w:t xml:space="preserve"> הסתדרות עובדים מכבי נ' מרכז השלטון המקומי ואח', </w:t>
      </w:r>
      <w:r w:rsidRPr="00F416C8">
        <w:rPr>
          <w:rFonts w:hint="cs"/>
          <w:sz w:val="24"/>
          <w:szCs w:val="24"/>
          <w:rtl/>
        </w:rPr>
        <w:t>פ"ד כט 61.</w:t>
      </w:r>
    </w:p>
    <w:p w:rsidR="00306B0E" w:rsidRPr="00F416C8" w:rsidRDefault="00306B0E" w:rsidP="00306B0E">
      <w:pPr>
        <w:jc w:val="both"/>
        <w:rPr>
          <w:rFonts w:hint="cs"/>
          <w:rtl/>
        </w:rPr>
      </w:pPr>
    </w:p>
    <w:p w:rsidR="00306B0E" w:rsidRPr="00401C76" w:rsidRDefault="00306B0E" w:rsidP="00306B0E">
      <w:pPr>
        <w:jc w:val="both"/>
        <w:rPr>
          <w:rFonts w:hint="cs"/>
          <w:rtl/>
        </w:rPr>
      </w:pPr>
      <w:r>
        <w:rPr>
          <w:rFonts w:hint="cs"/>
          <w:rtl/>
        </w:rPr>
        <w:t xml:space="preserve">24. </w:t>
      </w:r>
      <w:r w:rsidRPr="00712868">
        <w:rPr>
          <w:rFonts w:hint="cs"/>
          <w:b/>
          <w:bCs/>
          <w:szCs w:val="20"/>
        </w:rPr>
        <w:t>H</w:t>
      </w:r>
      <w:r w:rsidRPr="00712868">
        <w:rPr>
          <w:b/>
          <w:bCs/>
          <w:szCs w:val="20"/>
        </w:rPr>
        <w:t>andels-og Kontorfunktionaerernes Forbund i Danmark v. Dansk Arbejdsgiverforening</w:t>
      </w:r>
      <w:r w:rsidRPr="00DF427F">
        <w:rPr>
          <w:szCs w:val="20"/>
        </w:rPr>
        <w:t xml:space="preserve"> [1989] IRLR 532 (ECJ)</w:t>
      </w:r>
    </w:p>
    <w:p w:rsidR="00306B0E" w:rsidRPr="00401C76" w:rsidRDefault="00306B0E" w:rsidP="00306B0E">
      <w:pPr>
        <w:spacing w:line="480" w:lineRule="auto"/>
        <w:jc w:val="both"/>
        <w:rPr>
          <w:rFonts w:hint="cs"/>
          <w:u w:val="single"/>
          <w:rtl/>
        </w:rPr>
      </w:pPr>
    </w:p>
    <w:p w:rsidR="00306B0E" w:rsidRPr="00401C76" w:rsidRDefault="00306B0E" w:rsidP="00306B0E">
      <w:pPr>
        <w:spacing w:line="480" w:lineRule="auto"/>
        <w:jc w:val="both"/>
        <w:rPr>
          <w:rFonts w:hint="cs"/>
          <w:u w:val="single"/>
          <w:rtl/>
        </w:rPr>
      </w:pPr>
      <w:r w:rsidRPr="00401C76">
        <w:rPr>
          <w:rFonts w:hint="cs"/>
          <w:u w:val="single"/>
          <w:rtl/>
        </w:rPr>
        <w:t>ספרות משפטית</w:t>
      </w:r>
    </w:p>
    <w:p w:rsidR="00306B0E" w:rsidRDefault="00306B0E" w:rsidP="00306B0E">
      <w:pPr>
        <w:pStyle w:val="a5"/>
        <w:rPr>
          <w:rFonts w:hint="cs"/>
          <w:sz w:val="24"/>
          <w:szCs w:val="24"/>
          <w:rtl/>
        </w:rPr>
      </w:pPr>
      <w:r>
        <w:rPr>
          <w:rFonts w:hint="cs"/>
          <w:sz w:val="24"/>
          <w:szCs w:val="24"/>
          <w:rtl/>
        </w:rPr>
        <w:t xml:space="preserve">1. </w:t>
      </w:r>
      <w:r w:rsidRPr="00401C76">
        <w:rPr>
          <w:rFonts w:hint="cs"/>
          <w:sz w:val="24"/>
          <w:szCs w:val="24"/>
          <w:rtl/>
        </w:rPr>
        <w:t>בן-ישראל</w:t>
      </w:r>
      <w:r>
        <w:rPr>
          <w:rFonts w:hint="cs"/>
          <w:sz w:val="24"/>
          <w:szCs w:val="24"/>
          <w:rtl/>
        </w:rPr>
        <w:t xml:space="preserve"> רות</w:t>
      </w:r>
      <w:r w:rsidRPr="00401C76">
        <w:rPr>
          <w:rFonts w:hint="cs"/>
          <w:sz w:val="24"/>
          <w:szCs w:val="24"/>
          <w:rtl/>
        </w:rPr>
        <w:t xml:space="preserve"> </w:t>
      </w:r>
      <w:r w:rsidRPr="00401C76">
        <w:rPr>
          <w:rFonts w:hint="cs"/>
          <w:b/>
          <w:bCs/>
          <w:sz w:val="24"/>
          <w:szCs w:val="24"/>
          <w:rtl/>
        </w:rPr>
        <w:t xml:space="preserve">שוויון הזדמנויות ואיסור אפליה בעבודה </w:t>
      </w:r>
      <w:r w:rsidRPr="00401C76">
        <w:rPr>
          <w:rFonts w:hint="cs"/>
          <w:sz w:val="24"/>
          <w:szCs w:val="24"/>
          <w:rtl/>
        </w:rPr>
        <w:t>(תשנ"ח).</w:t>
      </w:r>
    </w:p>
    <w:p w:rsidR="00306B0E" w:rsidRPr="00401C76" w:rsidRDefault="00306B0E" w:rsidP="00306B0E">
      <w:pPr>
        <w:pStyle w:val="a5"/>
        <w:rPr>
          <w:rFonts w:hint="cs"/>
          <w:sz w:val="24"/>
          <w:szCs w:val="24"/>
          <w:rtl/>
        </w:rPr>
      </w:pPr>
    </w:p>
    <w:p w:rsidR="00306B0E" w:rsidRDefault="00306B0E" w:rsidP="00306B0E">
      <w:pPr>
        <w:rPr>
          <w:rFonts w:hint="cs"/>
          <w:rtl/>
        </w:rPr>
      </w:pPr>
      <w:r>
        <w:rPr>
          <w:rFonts w:hint="cs"/>
          <w:rtl/>
        </w:rPr>
        <w:t xml:space="preserve">2. </w:t>
      </w:r>
      <w:r w:rsidRPr="00401C76">
        <w:rPr>
          <w:rFonts w:hint="cs"/>
          <w:rtl/>
        </w:rPr>
        <w:t>ברק</w:t>
      </w:r>
      <w:r>
        <w:rPr>
          <w:rFonts w:hint="cs"/>
          <w:rtl/>
        </w:rPr>
        <w:t xml:space="preserve"> אהרון</w:t>
      </w:r>
      <w:r w:rsidRPr="00401C76">
        <w:rPr>
          <w:rFonts w:hint="cs"/>
          <w:rtl/>
        </w:rPr>
        <w:t xml:space="preserve"> </w:t>
      </w:r>
      <w:r w:rsidRPr="00401C76">
        <w:rPr>
          <w:rFonts w:hint="cs"/>
          <w:b/>
          <w:bCs/>
          <w:rtl/>
        </w:rPr>
        <w:t xml:space="preserve">פרשנות במשפט </w:t>
      </w:r>
      <w:r w:rsidRPr="00401C76">
        <w:rPr>
          <w:rFonts w:hint="cs"/>
          <w:rtl/>
        </w:rPr>
        <w:t>(תשנ"ד).</w:t>
      </w:r>
    </w:p>
    <w:p w:rsidR="00306B0E" w:rsidRPr="00401C76" w:rsidRDefault="00306B0E" w:rsidP="00306B0E">
      <w:pPr>
        <w:rPr>
          <w:rFonts w:hint="cs"/>
          <w:rtl/>
        </w:rPr>
      </w:pPr>
    </w:p>
    <w:p w:rsidR="00306B0E" w:rsidRPr="00401C76" w:rsidRDefault="00306B0E" w:rsidP="00306B0E">
      <w:pPr>
        <w:pStyle w:val="a5"/>
        <w:rPr>
          <w:rFonts w:hint="cs"/>
          <w:sz w:val="24"/>
          <w:szCs w:val="24"/>
          <w:rtl/>
        </w:rPr>
      </w:pPr>
      <w:r>
        <w:rPr>
          <w:rFonts w:hint="cs"/>
          <w:sz w:val="24"/>
          <w:szCs w:val="24"/>
          <w:rtl/>
        </w:rPr>
        <w:t xml:space="preserve">3. </w:t>
      </w:r>
      <w:r w:rsidRPr="00401C76">
        <w:rPr>
          <w:rFonts w:hint="cs"/>
          <w:sz w:val="24"/>
          <w:szCs w:val="24"/>
          <w:rtl/>
        </w:rPr>
        <w:t>גולדברג</w:t>
      </w:r>
      <w:r>
        <w:rPr>
          <w:rFonts w:hint="cs"/>
          <w:sz w:val="24"/>
          <w:szCs w:val="24"/>
          <w:rtl/>
        </w:rPr>
        <w:t xml:space="preserve"> מנחם</w:t>
      </w:r>
      <w:r w:rsidRPr="00401C76">
        <w:rPr>
          <w:rFonts w:hint="cs"/>
          <w:sz w:val="24"/>
          <w:szCs w:val="24"/>
          <w:rtl/>
        </w:rPr>
        <w:t xml:space="preserve"> </w:t>
      </w:r>
      <w:r w:rsidRPr="00401C76">
        <w:rPr>
          <w:rFonts w:hint="cs"/>
          <w:b/>
          <w:bCs/>
          <w:sz w:val="24"/>
          <w:szCs w:val="24"/>
          <w:rtl/>
        </w:rPr>
        <w:t>'חופש החוזים' והגבלתו בהסכם עבודה קיבוצי ובחוזה עבודה אישי</w:t>
      </w:r>
      <w:r w:rsidRPr="00401C76">
        <w:rPr>
          <w:rFonts w:hint="cs"/>
          <w:sz w:val="24"/>
          <w:szCs w:val="24"/>
          <w:rtl/>
        </w:rPr>
        <w:t xml:space="preserve"> (תשנ"ד).</w:t>
      </w:r>
    </w:p>
    <w:p w:rsidR="00306B0E" w:rsidRDefault="00306B0E" w:rsidP="00306B0E">
      <w:pPr>
        <w:pStyle w:val="a5"/>
        <w:rPr>
          <w:rFonts w:hint="cs"/>
          <w:sz w:val="24"/>
          <w:szCs w:val="24"/>
          <w:rtl/>
        </w:rPr>
      </w:pPr>
    </w:p>
    <w:p w:rsidR="00306B0E" w:rsidRPr="00401C76" w:rsidRDefault="00306B0E" w:rsidP="00306B0E">
      <w:pPr>
        <w:pStyle w:val="a5"/>
        <w:rPr>
          <w:rFonts w:hint="cs"/>
          <w:sz w:val="24"/>
          <w:szCs w:val="24"/>
          <w:rtl/>
        </w:rPr>
      </w:pPr>
      <w:r>
        <w:rPr>
          <w:rFonts w:hint="cs"/>
          <w:sz w:val="24"/>
          <w:szCs w:val="24"/>
          <w:rtl/>
        </w:rPr>
        <w:t xml:space="preserve">4. </w:t>
      </w:r>
      <w:r w:rsidRPr="00401C76">
        <w:rPr>
          <w:rFonts w:hint="cs"/>
          <w:sz w:val="24"/>
          <w:szCs w:val="24"/>
          <w:rtl/>
        </w:rPr>
        <w:t>גרוס</w:t>
      </w:r>
      <w:r>
        <w:rPr>
          <w:rFonts w:hint="cs"/>
          <w:sz w:val="24"/>
          <w:szCs w:val="24"/>
          <w:rtl/>
        </w:rPr>
        <w:t xml:space="preserve"> יוסף</w:t>
      </w:r>
      <w:r w:rsidRPr="00401C76">
        <w:rPr>
          <w:rFonts w:hint="cs"/>
          <w:sz w:val="24"/>
          <w:szCs w:val="24"/>
          <w:rtl/>
        </w:rPr>
        <w:t xml:space="preserve"> </w:t>
      </w:r>
      <w:r w:rsidRPr="00401C76">
        <w:rPr>
          <w:rFonts w:hint="cs"/>
          <w:b/>
          <w:bCs/>
          <w:sz w:val="24"/>
          <w:szCs w:val="24"/>
          <w:rtl/>
        </w:rPr>
        <w:t xml:space="preserve">דיני המס החדשים </w:t>
      </w:r>
      <w:r w:rsidRPr="00401C76">
        <w:rPr>
          <w:rFonts w:hint="cs"/>
          <w:sz w:val="24"/>
          <w:szCs w:val="24"/>
          <w:rtl/>
        </w:rPr>
        <w:t>(</w:t>
      </w:r>
      <w:r>
        <w:rPr>
          <w:rFonts w:hint="cs"/>
          <w:sz w:val="24"/>
          <w:szCs w:val="24"/>
          <w:rtl/>
        </w:rPr>
        <w:t>תשס"ג)</w:t>
      </w:r>
      <w:r w:rsidRPr="00401C76">
        <w:rPr>
          <w:rFonts w:hint="cs"/>
          <w:sz w:val="24"/>
          <w:szCs w:val="24"/>
          <w:rtl/>
        </w:rPr>
        <w:t>.</w:t>
      </w:r>
    </w:p>
    <w:p w:rsidR="00306B0E" w:rsidRDefault="00306B0E" w:rsidP="00306B0E">
      <w:pPr>
        <w:pStyle w:val="a5"/>
        <w:rPr>
          <w:rFonts w:hint="cs"/>
          <w:sz w:val="24"/>
          <w:szCs w:val="24"/>
          <w:rtl/>
        </w:rPr>
      </w:pPr>
    </w:p>
    <w:p w:rsidR="00306B0E" w:rsidRPr="00401C76" w:rsidRDefault="00306B0E" w:rsidP="00306B0E">
      <w:pPr>
        <w:pStyle w:val="a5"/>
        <w:rPr>
          <w:rFonts w:hint="cs"/>
          <w:sz w:val="24"/>
          <w:szCs w:val="24"/>
          <w:rtl/>
        </w:rPr>
      </w:pPr>
      <w:r>
        <w:rPr>
          <w:rFonts w:hint="cs"/>
          <w:sz w:val="24"/>
          <w:szCs w:val="24"/>
          <w:rtl/>
        </w:rPr>
        <w:t xml:space="preserve">5. </w:t>
      </w:r>
      <w:r w:rsidRPr="00401C76">
        <w:rPr>
          <w:sz w:val="24"/>
          <w:szCs w:val="24"/>
          <w:rtl/>
        </w:rPr>
        <w:t>הר</w:t>
      </w:r>
      <w:r w:rsidRPr="00401C76">
        <w:rPr>
          <w:rFonts w:hint="cs"/>
          <w:sz w:val="24"/>
          <w:szCs w:val="24"/>
          <w:rtl/>
        </w:rPr>
        <w:t>-</w:t>
      </w:r>
      <w:r w:rsidRPr="00401C76">
        <w:rPr>
          <w:sz w:val="24"/>
          <w:szCs w:val="24"/>
          <w:rtl/>
        </w:rPr>
        <w:t xml:space="preserve"> זהב</w:t>
      </w:r>
      <w:r w:rsidRPr="00401C76">
        <w:rPr>
          <w:rFonts w:hint="cs"/>
          <w:sz w:val="24"/>
          <w:szCs w:val="24"/>
          <w:rtl/>
        </w:rPr>
        <w:t xml:space="preserve"> רענן </w:t>
      </w:r>
      <w:r w:rsidRPr="00401C76">
        <w:rPr>
          <w:sz w:val="24"/>
          <w:szCs w:val="24"/>
          <w:rtl/>
        </w:rPr>
        <w:t xml:space="preserve"> </w:t>
      </w:r>
      <w:r w:rsidRPr="00401C76">
        <w:rPr>
          <w:rFonts w:hint="cs"/>
          <w:b/>
          <w:bCs/>
          <w:sz w:val="24"/>
          <w:szCs w:val="24"/>
          <w:rtl/>
        </w:rPr>
        <w:t>המשפט המנהלי הישראלי</w:t>
      </w:r>
      <w:r w:rsidRPr="00401C76">
        <w:rPr>
          <w:rFonts w:hint="cs"/>
          <w:sz w:val="24"/>
          <w:szCs w:val="24"/>
          <w:rtl/>
        </w:rPr>
        <w:t xml:space="preserve"> (תשנ"ז).</w:t>
      </w:r>
    </w:p>
    <w:p w:rsidR="00306B0E" w:rsidRPr="00401C76" w:rsidRDefault="00306B0E" w:rsidP="00306B0E">
      <w:pPr>
        <w:pStyle w:val="a5"/>
        <w:rPr>
          <w:rFonts w:hint="cs"/>
          <w:sz w:val="24"/>
          <w:szCs w:val="24"/>
          <w:rtl/>
        </w:rPr>
      </w:pPr>
    </w:p>
    <w:p w:rsidR="00306B0E" w:rsidRDefault="00306B0E" w:rsidP="00306B0E">
      <w:pPr>
        <w:pStyle w:val="a5"/>
        <w:rPr>
          <w:rFonts w:hint="cs"/>
          <w:sz w:val="24"/>
          <w:szCs w:val="24"/>
          <w:rtl/>
        </w:rPr>
      </w:pPr>
      <w:r>
        <w:rPr>
          <w:rFonts w:hint="cs"/>
          <w:sz w:val="24"/>
          <w:szCs w:val="24"/>
          <w:rtl/>
        </w:rPr>
        <w:t>6</w:t>
      </w:r>
      <w:r w:rsidRPr="00401C76">
        <w:rPr>
          <w:rFonts w:hint="cs"/>
          <w:sz w:val="24"/>
          <w:szCs w:val="24"/>
          <w:rtl/>
        </w:rPr>
        <w:t xml:space="preserve">. זמיר יצחק </w:t>
      </w:r>
      <w:r w:rsidRPr="00401C76">
        <w:rPr>
          <w:rFonts w:hint="cs"/>
          <w:b/>
          <w:bCs/>
          <w:sz w:val="24"/>
          <w:szCs w:val="24"/>
          <w:rtl/>
        </w:rPr>
        <w:t xml:space="preserve"> הסמכות המנהלית</w:t>
      </w:r>
      <w:r w:rsidRPr="00401C76">
        <w:rPr>
          <w:rFonts w:hint="cs"/>
          <w:sz w:val="24"/>
          <w:szCs w:val="24"/>
          <w:rtl/>
        </w:rPr>
        <w:t xml:space="preserve"> (תשנ"ו).</w:t>
      </w:r>
    </w:p>
    <w:p w:rsidR="00306B0E" w:rsidRDefault="00306B0E" w:rsidP="00306B0E">
      <w:pPr>
        <w:pStyle w:val="a5"/>
        <w:rPr>
          <w:rFonts w:hint="cs"/>
          <w:sz w:val="24"/>
          <w:szCs w:val="24"/>
          <w:rtl/>
        </w:rPr>
      </w:pPr>
    </w:p>
    <w:p w:rsidR="00306B0E" w:rsidRPr="00401C76" w:rsidRDefault="00306B0E" w:rsidP="00306B0E">
      <w:pPr>
        <w:pStyle w:val="a5"/>
        <w:rPr>
          <w:rFonts w:hint="cs"/>
          <w:sz w:val="24"/>
          <w:szCs w:val="24"/>
          <w:rtl/>
        </w:rPr>
      </w:pPr>
      <w:r>
        <w:rPr>
          <w:rFonts w:hint="cs"/>
          <w:sz w:val="24"/>
          <w:szCs w:val="24"/>
          <w:rtl/>
        </w:rPr>
        <w:t xml:space="preserve">7. </w:t>
      </w:r>
      <w:r w:rsidRPr="00401C76">
        <w:rPr>
          <w:rFonts w:hint="cs"/>
          <w:sz w:val="24"/>
          <w:szCs w:val="24"/>
          <w:rtl/>
        </w:rPr>
        <w:t xml:space="preserve">רפאל אמנון </w:t>
      </w:r>
      <w:r w:rsidRPr="00401C76">
        <w:rPr>
          <w:rFonts w:hint="cs"/>
          <w:b/>
          <w:bCs/>
          <w:sz w:val="24"/>
          <w:szCs w:val="24"/>
          <w:rtl/>
        </w:rPr>
        <w:t xml:space="preserve">מס הכנסה </w:t>
      </w:r>
      <w:r w:rsidRPr="00401C76">
        <w:rPr>
          <w:rFonts w:hint="cs"/>
          <w:sz w:val="24"/>
          <w:szCs w:val="24"/>
          <w:rtl/>
        </w:rPr>
        <w:t>(תשנ"ד).</w:t>
      </w:r>
    </w:p>
    <w:p w:rsidR="00306B0E" w:rsidRPr="00401C76" w:rsidRDefault="00306B0E" w:rsidP="00306B0E">
      <w:pPr>
        <w:pStyle w:val="a5"/>
        <w:rPr>
          <w:rFonts w:hint="cs"/>
          <w:sz w:val="24"/>
          <w:szCs w:val="24"/>
          <w:rtl/>
        </w:rPr>
      </w:pPr>
    </w:p>
    <w:p w:rsidR="00306B0E" w:rsidRDefault="00306B0E" w:rsidP="00306B0E">
      <w:pPr>
        <w:pStyle w:val="a5"/>
        <w:rPr>
          <w:rFonts w:hint="cs"/>
          <w:rtl/>
        </w:rPr>
      </w:pPr>
    </w:p>
    <w:p w:rsidR="00111F8E" w:rsidRPr="001B4EA6" w:rsidRDefault="00111F8E" w:rsidP="00111F8E">
      <w:pPr>
        <w:pStyle w:val="1"/>
        <w:rPr>
          <w:rFonts w:hint="cs"/>
          <w:rtl/>
        </w:rPr>
      </w:pPr>
      <w:r>
        <w:rPr>
          <w:rtl/>
        </w:rPr>
        <w:br w:type="page"/>
      </w:r>
      <w:bookmarkStart w:id="40" w:name="_Toc144716290"/>
      <w:r w:rsidRPr="001B4EA6">
        <w:rPr>
          <w:rFonts w:hint="cs"/>
          <w:rtl/>
        </w:rPr>
        <w:lastRenderedPageBreak/>
        <w:t>נספחים</w:t>
      </w:r>
      <w:bookmarkEnd w:id="40"/>
    </w:p>
    <w:p w:rsidR="00111F8E" w:rsidRDefault="00111F8E" w:rsidP="00111F8E">
      <w:pPr>
        <w:rPr>
          <w:rFonts w:hint="cs"/>
          <w:rtl/>
        </w:rPr>
      </w:pPr>
    </w:p>
    <w:p w:rsidR="00111F8E" w:rsidRPr="00111F8E" w:rsidRDefault="00111F8E" w:rsidP="00111F8E">
      <w:pPr>
        <w:pStyle w:val="2"/>
        <w:rPr>
          <w:rFonts w:hint="cs"/>
          <w:rtl/>
        </w:rPr>
      </w:pPr>
      <w:bookmarkStart w:id="41" w:name="_Toc144716291"/>
      <w:r w:rsidRPr="00111F8E">
        <w:rPr>
          <w:rFonts w:hint="cs"/>
          <w:rtl/>
        </w:rPr>
        <w:t xml:space="preserve">נספח א </w:t>
      </w:r>
      <w:r w:rsidRPr="00111F8E">
        <w:rPr>
          <w:rtl/>
        </w:rPr>
        <w:t>–</w:t>
      </w:r>
      <w:r w:rsidRPr="00111F8E">
        <w:rPr>
          <w:rFonts w:hint="cs"/>
          <w:rtl/>
        </w:rPr>
        <w:t xml:space="preserve"> חוזר החשב הכללי לשנת 2006</w:t>
      </w:r>
      <w:bookmarkEnd w:id="41"/>
      <w:r w:rsidRPr="00111F8E">
        <w:rPr>
          <w:rFonts w:hint="cs"/>
          <w:rtl/>
        </w:rPr>
        <w:t xml:space="preserve"> </w:t>
      </w:r>
    </w:p>
    <w:p w:rsidR="00111F8E" w:rsidRDefault="00111F8E" w:rsidP="00111F8E">
      <w:pPr>
        <w:rPr>
          <w:rFonts w:hint="cs"/>
          <w:u w:val="single"/>
          <w:rtl/>
        </w:rPr>
      </w:pPr>
    </w:p>
    <w:p w:rsidR="00111F8E" w:rsidRPr="00341C3E" w:rsidRDefault="00111F8E" w:rsidP="00111F8E">
      <w:pPr>
        <w:rPr>
          <w:rFonts w:hint="cs"/>
          <w:sz w:val="22"/>
          <w:szCs w:val="22"/>
          <w:u w:val="single"/>
          <w:rtl/>
        </w:rPr>
      </w:pPr>
    </w:p>
    <w:p w:rsidR="00111F8E" w:rsidRPr="00341C3E" w:rsidRDefault="00111F8E" w:rsidP="00111F8E">
      <w:pPr>
        <w:jc w:val="center"/>
        <w:rPr>
          <w:rFonts w:hint="cs"/>
          <w:sz w:val="22"/>
          <w:szCs w:val="22"/>
          <w:rtl/>
          <w:lang w:eastAsia="en-US"/>
        </w:rPr>
      </w:pPr>
      <w:bookmarkStart w:id="42" w:name="OLE_LINK4"/>
      <w:bookmarkStart w:id="43" w:name="OLE_LINK3"/>
      <w:bookmarkStart w:id="44" w:name="OLE_LINK2"/>
      <w:r w:rsidRPr="00341C3E">
        <w:rPr>
          <w:rFonts w:hint="cs"/>
          <w:sz w:val="22"/>
          <w:szCs w:val="22"/>
          <w:rtl/>
          <w:lang w:eastAsia="en-US"/>
        </w:rPr>
        <w:t>הוראת שעה כספי</w:t>
      </w:r>
      <w:r w:rsidRPr="00341C3E">
        <w:rPr>
          <w:sz w:val="22"/>
          <w:szCs w:val="22"/>
          <w:rtl/>
          <w:lang w:eastAsia="en-US"/>
        </w:rPr>
        <w:t xml:space="preserve"> </w:t>
      </w:r>
    </w:p>
    <w:p w:rsidR="00111F8E" w:rsidRPr="00341C3E" w:rsidRDefault="00111F8E" w:rsidP="00111F8E">
      <w:pPr>
        <w:pStyle w:val="a9"/>
        <w:jc w:val="center"/>
        <w:rPr>
          <w:rFonts w:cs="David"/>
          <w:sz w:val="22"/>
          <w:szCs w:val="22"/>
          <w:rtl/>
          <w:lang w:eastAsia="en-US"/>
        </w:rPr>
      </w:pPr>
      <w:r w:rsidRPr="00341C3E">
        <w:rPr>
          <w:rFonts w:cs="David" w:hint="cs"/>
          <w:sz w:val="22"/>
          <w:szCs w:val="22"/>
          <w:rtl/>
          <w:lang w:eastAsia="en-US"/>
        </w:rPr>
        <w:t xml:space="preserve">מתייחס להוראת תכ"ם </w:t>
      </w:r>
      <w:r w:rsidRPr="00341C3E">
        <w:rPr>
          <w:rFonts w:cs="David"/>
          <w:sz w:val="22"/>
          <w:szCs w:val="22"/>
          <w:rtl/>
          <w:lang w:eastAsia="en-US"/>
        </w:rPr>
        <w:t>-</w:t>
      </w:r>
      <w:r w:rsidRPr="00341C3E">
        <w:rPr>
          <w:rFonts w:cs="David" w:hint="cs"/>
          <w:sz w:val="22"/>
          <w:szCs w:val="22"/>
          <w:rtl/>
          <w:lang w:eastAsia="en-US"/>
        </w:rPr>
        <w:t xml:space="preserve"> </w:t>
      </w:r>
      <w:r w:rsidRPr="00341C3E">
        <w:rPr>
          <w:rFonts w:cs="David"/>
          <w:sz w:val="22"/>
          <w:szCs w:val="22"/>
          <w:rtl/>
          <w:lang w:eastAsia="en-US"/>
        </w:rPr>
        <w:t xml:space="preserve"> ספר מינהל </w:t>
      </w:r>
      <w:r w:rsidRPr="00341C3E">
        <w:rPr>
          <w:rFonts w:cs="David" w:hint="cs"/>
          <w:sz w:val="22"/>
          <w:szCs w:val="22"/>
          <w:rtl/>
          <w:lang w:eastAsia="en-US"/>
        </w:rPr>
        <w:t>כספי</w:t>
      </w:r>
    </w:p>
    <w:p w:rsidR="00111F8E" w:rsidRPr="00341C3E" w:rsidRDefault="00111F8E" w:rsidP="00111F8E">
      <w:pPr>
        <w:pStyle w:val="a9"/>
        <w:jc w:val="center"/>
        <w:rPr>
          <w:rFonts w:cs="David" w:hint="cs"/>
          <w:sz w:val="22"/>
          <w:szCs w:val="22"/>
          <w:rtl/>
          <w:lang w:eastAsia="en-US"/>
        </w:rPr>
      </w:pPr>
    </w:p>
    <w:tbl>
      <w:tblPr>
        <w:bidiVisual/>
        <w:tblW w:w="0" w:type="auto"/>
        <w:jc w:val="center"/>
        <w:tblLayout w:type="fixed"/>
        <w:tblCellMar>
          <w:left w:w="28" w:type="dxa"/>
          <w:right w:w="28" w:type="dxa"/>
        </w:tblCellMar>
        <w:tblLook w:val="0000"/>
      </w:tblPr>
      <w:tblGrid>
        <w:gridCol w:w="2098"/>
        <w:gridCol w:w="942"/>
        <w:gridCol w:w="333"/>
        <w:gridCol w:w="3098"/>
        <w:gridCol w:w="2340"/>
      </w:tblGrid>
      <w:tr w:rsidR="00111F8E" w:rsidRPr="00341C3E">
        <w:tblPrEx>
          <w:tblCellMar>
            <w:top w:w="0" w:type="dxa"/>
            <w:bottom w:w="0" w:type="dxa"/>
          </w:tblCellMar>
        </w:tblPrEx>
        <w:trPr>
          <w:jc w:val="center"/>
        </w:trPr>
        <w:tc>
          <w:tcPr>
            <w:tcW w:w="2098" w:type="dxa"/>
            <w:tcBorders>
              <w:top w:val="single" w:sz="6" w:space="0" w:color="auto"/>
              <w:left w:val="single" w:sz="6" w:space="0" w:color="auto"/>
              <w:bottom w:val="single" w:sz="6" w:space="0" w:color="auto"/>
              <w:right w:val="single" w:sz="6" w:space="0" w:color="auto"/>
            </w:tcBorders>
          </w:tcPr>
          <w:p w:rsidR="00111F8E" w:rsidRPr="00341C3E" w:rsidRDefault="00111F8E" w:rsidP="00937B20">
            <w:pPr>
              <w:pStyle w:val="a9"/>
              <w:jc w:val="center"/>
              <w:rPr>
                <w:rFonts w:cs="David"/>
                <w:sz w:val="22"/>
                <w:szCs w:val="22"/>
                <w:rtl/>
                <w:lang w:eastAsia="en-US"/>
              </w:rPr>
            </w:pPr>
            <w:r w:rsidRPr="00341C3E">
              <w:rPr>
                <w:rFonts w:cs="David"/>
                <w:sz w:val="22"/>
                <w:szCs w:val="22"/>
                <w:rtl/>
                <w:lang w:eastAsia="en-US"/>
              </w:rPr>
              <w:t>תאריך פרסום</w:t>
            </w:r>
          </w:p>
        </w:tc>
        <w:tc>
          <w:tcPr>
            <w:tcW w:w="942" w:type="dxa"/>
            <w:tcBorders>
              <w:top w:val="single" w:sz="6" w:space="0" w:color="auto"/>
              <w:left w:val="nil"/>
            </w:tcBorders>
          </w:tcPr>
          <w:p w:rsidR="00111F8E" w:rsidRPr="00341C3E" w:rsidRDefault="00111F8E" w:rsidP="00937B20">
            <w:pPr>
              <w:pStyle w:val="a9"/>
              <w:ind w:left="-42"/>
              <w:jc w:val="right"/>
              <w:rPr>
                <w:rFonts w:cs="David"/>
                <w:sz w:val="22"/>
                <w:szCs w:val="22"/>
                <w:rtl/>
                <w:lang w:eastAsia="en-US"/>
              </w:rPr>
            </w:pPr>
            <w:r w:rsidRPr="00341C3E">
              <w:rPr>
                <w:rFonts w:cs="David"/>
                <w:sz w:val="22"/>
                <w:szCs w:val="22"/>
                <w:rtl/>
                <w:lang w:eastAsia="en-US"/>
              </w:rPr>
              <w:t>פרק</w:t>
            </w:r>
          </w:p>
        </w:tc>
        <w:tc>
          <w:tcPr>
            <w:tcW w:w="333" w:type="dxa"/>
            <w:tcBorders>
              <w:top w:val="single" w:sz="6" w:space="0" w:color="auto"/>
            </w:tcBorders>
          </w:tcPr>
          <w:p w:rsidR="00111F8E" w:rsidRPr="00341C3E" w:rsidRDefault="00111F8E" w:rsidP="00937B20">
            <w:pPr>
              <w:pStyle w:val="a9"/>
              <w:jc w:val="left"/>
              <w:rPr>
                <w:rFonts w:cs="David" w:hint="cs"/>
                <w:sz w:val="22"/>
                <w:szCs w:val="22"/>
                <w:rtl/>
                <w:lang w:eastAsia="en-US"/>
              </w:rPr>
            </w:pPr>
            <w:bookmarkStart w:id="45" w:name="Adding15"/>
            <w:bookmarkEnd w:id="45"/>
            <w:r w:rsidRPr="00341C3E">
              <w:rPr>
                <w:rFonts w:cs="David" w:hint="cs"/>
                <w:sz w:val="22"/>
                <w:szCs w:val="22"/>
                <w:rtl/>
                <w:lang w:eastAsia="en-US"/>
              </w:rPr>
              <w:t>2</w:t>
            </w:r>
          </w:p>
        </w:tc>
        <w:tc>
          <w:tcPr>
            <w:tcW w:w="3098" w:type="dxa"/>
            <w:tcBorders>
              <w:top w:val="single" w:sz="6" w:space="0" w:color="auto"/>
              <w:left w:val="single" w:sz="6" w:space="0" w:color="auto"/>
            </w:tcBorders>
          </w:tcPr>
          <w:p w:rsidR="00111F8E" w:rsidRPr="00341C3E" w:rsidRDefault="00111F8E" w:rsidP="00937B20">
            <w:pPr>
              <w:pStyle w:val="a9"/>
              <w:ind w:left="35"/>
              <w:jc w:val="left"/>
              <w:rPr>
                <w:rFonts w:cs="David" w:hint="cs"/>
                <w:sz w:val="22"/>
                <w:szCs w:val="22"/>
                <w:rtl/>
                <w:lang w:eastAsia="en-US"/>
              </w:rPr>
            </w:pPr>
            <w:bookmarkStart w:id="46" w:name="Adding18"/>
            <w:bookmarkEnd w:id="46"/>
            <w:r w:rsidRPr="00341C3E">
              <w:rPr>
                <w:rFonts w:cs="David" w:hint="cs"/>
                <w:sz w:val="22"/>
                <w:szCs w:val="22"/>
                <w:rtl/>
                <w:lang w:eastAsia="en-US"/>
              </w:rPr>
              <w:t>שכר ומשכורת</w:t>
            </w:r>
          </w:p>
        </w:tc>
        <w:tc>
          <w:tcPr>
            <w:tcW w:w="2340" w:type="dxa"/>
            <w:tcBorders>
              <w:top w:val="single" w:sz="6" w:space="0" w:color="auto"/>
              <w:left w:val="single" w:sz="6" w:space="0" w:color="auto"/>
              <w:bottom w:val="single" w:sz="6" w:space="0" w:color="auto"/>
              <w:right w:val="single" w:sz="6" w:space="0" w:color="auto"/>
            </w:tcBorders>
          </w:tcPr>
          <w:p w:rsidR="00111F8E" w:rsidRPr="00341C3E" w:rsidRDefault="00111F8E" w:rsidP="00937B20">
            <w:pPr>
              <w:pStyle w:val="a9"/>
              <w:ind w:hanging="11"/>
              <w:jc w:val="center"/>
              <w:rPr>
                <w:rFonts w:cs="David"/>
                <w:sz w:val="22"/>
                <w:szCs w:val="22"/>
                <w:rtl/>
                <w:lang w:eastAsia="en-US"/>
              </w:rPr>
            </w:pPr>
            <w:r w:rsidRPr="00341C3E">
              <w:rPr>
                <w:rFonts w:cs="David"/>
                <w:sz w:val="22"/>
                <w:szCs w:val="22"/>
                <w:rtl/>
                <w:lang w:eastAsia="en-US"/>
              </w:rPr>
              <w:t>בתוקף מיום</w:t>
            </w:r>
          </w:p>
        </w:tc>
      </w:tr>
      <w:tr w:rsidR="00111F8E" w:rsidRPr="00341C3E">
        <w:tblPrEx>
          <w:tblCellMar>
            <w:top w:w="0" w:type="dxa"/>
            <w:bottom w:w="0" w:type="dxa"/>
          </w:tblCellMar>
        </w:tblPrEx>
        <w:trPr>
          <w:jc w:val="center"/>
        </w:trPr>
        <w:tc>
          <w:tcPr>
            <w:tcW w:w="2098" w:type="dxa"/>
            <w:tcBorders>
              <w:left w:val="single" w:sz="6" w:space="0" w:color="auto"/>
              <w:right w:val="single" w:sz="6" w:space="0" w:color="auto"/>
            </w:tcBorders>
          </w:tcPr>
          <w:p w:rsidR="00111F8E" w:rsidRPr="00341C3E" w:rsidRDefault="00111F8E" w:rsidP="00937B20">
            <w:pPr>
              <w:pStyle w:val="a9"/>
              <w:ind w:hanging="11"/>
              <w:jc w:val="center"/>
              <w:rPr>
                <w:rFonts w:cs="David" w:hint="cs"/>
                <w:sz w:val="22"/>
                <w:szCs w:val="22"/>
                <w:rtl/>
                <w:lang w:eastAsia="en-US"/>
              </w:rPr>
            </w:pPr>
            <w:bookmarkStart w:id="47" w:name="Adding11"/>
            <w:bookmarkEnd w:id="47"/>
            <w:r w:rsidRPr="00341C3E">
              <w:rPr>
                <w:rFonts w:cs="David"/>
                <w:sz w:val="22"/>
                <w:szCs w:val="22"/>
                <w:rtl/>
                <w:lang w:eastAsia="en-US"/>
              </w:rPr>
              <w:t>4 במאי 2006</w:t>
            </w:r>
          </w:p>
        </w:tc>
        <w:tc>
          <w:tcPr>
            <w:tcW w:w="942" w:type="dxa"/>
            <w:tcBorders>
              <w:left w:val="nil"/>
            </w:tcBorders>
          </w:tcPr>
          <w:p w:rsidR="00111F8E" w:rsidRPr="00341C3E" w:rsidRDefault="00111F8E" w:rsidP="00937B20">
            <w:pPr>
              <w:pStyle w:val="a9"/>
              <w:ind w:left="-42"/>
              <w:jc w:val="right"/>
              <w:rPr>
                <w:rFonts w:cs="David"/>
                <w:sz w:val="22"/>
                <w:szCs w:val="22"/>
                <w:rtl/>
                <w:lang w:eastAsia="en-US"/>
              </w:rPr>
            </w:pPr>
            <w:r w:rsidRPr="00341C3E">
              <w:rPr>
                <w:rFonts w:cs="David"/>
                <w:sz w:val="22"/>
                <w:szCs w:val="22"/>
                <w:rtl/>
                <w:lang w:eastAsia="en-US"/>
              </w:rPr>
              <w:t>סעיף</w:t>
            </w:r>
          </w:p>
        </w:tc>
        <w:tc>
          <w:tcPr>
            <w:tcW w:w="333" w:type="dxa"/>
          </w:tcPr>
          <w:p w:rsidR="00111F8E" w:rsidRPr="00341C3E" w:rsidRDefault="00111F8E" w:rsidP="00937B20">
            <w:pPr>
              <w:pStyle w:val="a9"/>
              <w:jc w:val="left"/>
              <w:rPr>
                <w:rFonts w:cs="David" w:hint="cs"/>
                <w:sz w:val="22"/>
                <w:szCs w:val="22"/>
                <w:rtl/>
                <w:lang w:eastAsia="en-US"/>
              </w:rPr>
            </w:pPr>
            <w:bookmarkStart w:id="48" w:name="Adding16"/>
            <w:bookmarkEnd w:id="48"/>
          </w:p>
        </w:tc>
        <w:tc>
          <w:tcPr>
            <w:tcW w:w="3098" w:type="dxa"/>
            <w:tcBorders>
              <w:left w:val="single" w:sz="6" w:space="0" w:color="auto"/>
            </w:tcBorders>
          </w:tcPr>
          <w:p w:rsidR="00111F8E" w:rsidRPr="00341C3E" w:rsidRDefault="00111F8E" w:rsidP="00937B20">
            <w:pPr>
              <w:pStyle w:val="a9"/>
              <w:ind w:left="35"/>
              <w:jc w:val="left"/>
              <w:rPr>
                <w:rFonts w:cs="David" w:hint="cs"/>
                <w:sz w:val="22"/>
                <w:szCs w:val="22"/>
                <w:rtl/>
                <w:lang w:eastAsia="en-US"/>
              </w:rPr>
            </w:pPr>
            <w:bookmarkStart w:id="49" w:name="Adding19"/>
            <w:bookmarkEnd w:id="49"/>
          </w:p>
        </w:tc>
        <w:tc>
          <w:tcPr>
            <w:tcW w:w="2340" w:type="dxa"/>
            <w:tcBorders>
              <w:left w:val="single" w:sz="6" w:space="0" w:color="auto"/>
              <w:right w:val="single" w:sz="6" w:space="0" w:color="auto"/>
            </w:tcBorders>
          </w:tcPr>
          <w:p w:rsidR="00111F8E" w:rsidRPr="00341C3E" w:rsidRDefault="00111F8E" w:rsidP="00937B20">
            <w:pPr>
              <w:pStyle w:val="a9"/>
              <w:ind w:hanging="11"/>
              <w:jc w:val="center"/>
              <w:rPr>
                <w:rFonts w:cs="David"/>
                <w:sz w:val="22"/>
                <w:szCs w:val="22"/>
                <w:rtl/>
                <w:lang w:eastAsia="en-US"/>
              </w:rPr>
            </w:pPr>
            <w:bookmarkStart w:id="50" w:name="Adding13"/>
            <w:bookmarkEnd w:id="50"/>
            <w:r w:rsidRPr="00341C3E">
              <w:rPr>
                <w:rFonts w:cs="David"/>
                <w:sz w:val="22"/>
                <w:szCs w:val="22"/>
                <w:rtl/>
                <w:lang w:eastAsia="en-US"/>
              </w:rPr>
              <w:t>4 במאי 2006</w:t>
            </w:r>
          </w:p>
        </w:tc>
      </w:tr>
      <w:tr w:rsidR="00111F8E" w:rsidRPr="00341C3E">
        <w:tblPrEx>
          <w:tblCellMar>
            <w:top w:w="0" w:type="dxa"/>
            <w:bottom w:w="0" w:type="dxa"/>
          </w:tblCellMar>
        </w:tblPrEx>
        <w:trPr>
          <w:jc w:val="center"/>
        </w:trPr>
        <w:tc>
          <w:tcPr>
            <w:tcW w:w="2098" w:type="dxa"/>
            <w:tcBorders>
              <w:left w:val="single" w:sz="6" w:space="0" w:color="auto"/>
              <w:bottom w:val="single" w:sz="6" w:space="0" w:color="auto"/>
              <w:right w:val="single" w:sz="6" w:space="0" w:color="auto"/>
            </w:tcBorders>
          </w:tcPr>
          <w:p w:rsidR="00111F8E" w:rsidRPr="00341C3E" w:rsidRDefault="00111F8E" w:rsidP="00937B20">
            <w:pPr>
              <w:pStyle w:val="a9"/>
              <w:jc w:val="center"/>
              <w:rPr>
                <w:rFonts w:cs="David" w:hint="cs"/>
                <w:sz w:val="22"/>
                <w:szCs w:val="22"/>
                <w:rtl/>
                <w:lang w:eastAsia="en-US"/>
              </w:rPr>
            </w:pPr>
            <w:bookmarkStart w:id="51" w:name="Adding12"/>
            <w:bookmarkEnd w:id="51"/>
            <w:r w:rsidRPr="00341C3E">
              <w:rPr>
                <w:rFonts w:cs="David" w:hint="eastAsia"/>
                <w:sz w:val="22"/>
                <w:szCs w:val="22"/>
                <w:rtl/>
                <w:lang w:eastAsia="en-US"/>
              </w:rPr>
              <w:t>ו</w:t>
            </w:r>
            <w:r w:rsidRPr="00341C3E">
              <w:rPr>
                <w:rFonts w:cs="David"/>
                <w:sz w:val="22"/>
                <w:szCs w:val="22"/>
                <w:rtl/>
                <w:lang w:eastAsia="en-US"/>
              </w:rPr>
              <w:t>' באייר התשס"ו</w:t>
            </w:r>
          </w:p>
        </w:tc>
        <w:tc>
          <w:tcPr>
            <w:tcW w:w="942" w:type="dxa"/>
            <w:tcBorders>
              <w:left w:val="nil"/>
              <w:bottom w:val="single" w:sz="6" w:space="0" w:color="auto"/>
            </w:tcBorders>
          </w:tcPr>
          <w:p w:rsidR="00111F8E" w:rsidRPr="00341C3E" w:rsidRDefault="00111F8E" w:rsidP="00937B20">
            <w:pPr>
              <w:pStyle w:val="a9"/>
              <w:ind w:left="-42"/>
              <w:jc w:val="right"/>
              <w:rPr>
                <w:rFonts w:cs="David"/>
                <w:sz w:val="22"/>
                <w:szCs w:val="22"/>
                <w:rtl/>
                <w:lang w:eastAsia="en-US"/>
              </w:rPr>
            </w:pPr>
            <w:r w:rsidRPr="00341C3E">
              <w:rPr>
                <w:rFonts w:cs="David"/>
                <w:sz w:val="22"/>
                <w:szCs w:val="22"/>
                <w:rtl/>
                <w:lang w:eastAsia="en-US"/>
              </w:rPr>
              <w:t>ס. משנה</w:t>
            </w:r>
          </w:p>
        </w:tc>
        <w:tc>
          <w:tcPr>
            <w:tcW w:w="333" w:type="dxa"/>
            <w:tcBorders>
              <w:bottom w:val="single" w:sz="6" w:space="0" w:color="auto"/>
            </w:tcBorders>
          </w:tcPr>
          <w:p w:rsidR="00111F8E" w:rsidRPr="00341C3E" w:rsidRDefault="00111F8E" w:rsidP="00937B20">
            <w:pPr>
              <w:pStyle w:val="a9"/>
              <w:jc w:val="left"/>
              <w:rPr>
                <w:rFonts w:cs="David" w:hint="cs"/>
                <w:sz w:val="22"/>
                <w:szCs w:val="22"/>
                <w:rtl/>
                <w:lang w:eastAsia="en-US"/>
              </w:rPr>
            </w:pPr>
            <w:bookmarkStart w:id="52" w:name="Adding17"/>
            <w:bookmarkEnd w:id="52"/>
          </w:p>
        </w:tc>
        <w:tc>
          <w:tcPr>
            <w:tcW w:w="3098" w:type="dxa"/>
            <w:tcBorders>
              <w:left w:val="single" w:sz="6" w:space="0" w:color="auto"/>
              <w:bottom w:val="single" w:sz="6" w:space="0" w:color="auto"/>
            </w:tcBorders>
          </w:tcPr>
          <w:p w:rsidR="00111F8E" w:rsidRPr="00341C3E" w:rsidRDefault="00111F8E" w:rsidP="00937B20">
            <w:pPr>
              <w:pStyle w:val="a9"/>
              <w:ind w:left="35"/>
              <w:jc w:val="left"/>
              <w:rPr>
                <w:rFonts w:cs="David" w:hint="cs"/>
                <w:sz w:val="22"/>
                <w:szCs w:val="22"/>
                <w:rtl/>
                <w:lang w:eastAsia="en-US"/>
              </w:rPr>
            </w:pPr>
            <w:bookmarkStart w:id="53" w:name="Adding20"/>
            <w:bookmarkEnd w:id="53"/>
          </w:p>
        </w:tc>
        <w:tc>
          <w:tcPr>
            <w:tcW w:w="2340" w:type="dxa"/>
            <w:tcBorders>
              <w:left w:val="single" w:sz="6" w:space="0" w:color="auto"/>
              <w:bottom w:val="single" w:sz="6" w:space="0" w:color="auto"/>
              <w:right w:val="single" w:sz="6" w:space="0" w:color="auto"/>
            </w:tcBorders>
          </w:tcPr>
          <w:p w:rsidR="00111F8E" w:rsidRPr="00341C3E" w:rsidRDefault="00111F8E" w:rsidP="00937B20">
            <w:pPr>
              <w:pStyle w:val="a9"/>
              <w:ind w:hanging="11"/>
              <w:jc w:val="center"/>
              <w:rPr>
                <w:rFonts w:cs="David"/>
                <w:sz w:val="22"/>
                <w:szCs w:val="22"/>
                <w:rtl/>
                <w:lang w:eastAsia="en-US"/>
              </w:rPr>
            </w:pPr>
            <w:bookmarkStart w:id="54" w:name="Adding14"/>
            <w:bookmarkEnd w:id="54"/>
            <w:r w:rsidRPr="00341C3E">
              <w:rPr>
                <w:rFonts w:cs="David"/>
                <w:sz w:val="22"/>
                <w:szCs w:val="22"/>
                <w:rtl/>
                <w:lang w:eastAsia="en-US"/>
              </w:rPr>
              <w:t>ו' באייר התשס"ו</w:t>
            </w:r>
          </w:p>
        </w:tc>
      </w:tr>
      <w:bookmarkEnd w:id="42"/>
      <w:bookmarkEnd w:id="43"/>
      <w:bookmarkEnd w:id="44"/>
    </w:tbl>
    <w:p w:rsidR="00712868" w:rsidRDefault="00712868" w:rsidP="00306B0E">
      <w:pPr>
        <w:pStyle w:val="a5"/>
        <w:rPr>
          <w:rFonts w:hint="cs"/>
          <w:rtl/>
        </w:rPr>
      </w:pPr>
    </w:p>
    <w:p w:rsidR="00ED5542" w:rsidRPr="00341C3E" w:rsidRDefault="00ED5542" w:rsidP="00ED5542">
      <w:pPr>
        <w:pStyle w:val="Memo"/>
        <w:rPr>
          <w:rFonts w:cs="David"/>
          <w:sz w:val="22"/>
          <w:szCs w:val="22"/>
          <w:rtl/>
          <w:lang w:eastAsia="en-US"/>
        </w:rPr>
      </w:pPr>
    </w:p>
    <w:p w:rsidR="00ED5542" w:rsidRPr="00341C3E" w:rsidRDefault="00ED5542" w:rsidP="00ED5542">
      <w:pPr>
        <w:pStyle w:val="Memo"/>
        <w:rPr>
          <w:rFonts w:cs="David"/>
          <w:sz w:val="22"/>
          <w:szCs w:val="22"/>
          <w:rtl/>
          <w:lang w:eastAsia="en-US"/>
        </w:rPr>
      </w:pPr>
      <w:bookmarkStart w:id="55" w:name="Adding01"/>
      <w:bookmarkEnd w:id="55"/>
      <w:r w:rsidRPr="00341C3E">
        <w:rPr>
          <w:rFonts w:cs="David" w:hint="eastAsia"/>
          <w:sz w:val="22"/>
          <w:szCs w:val="22"/>
          <w:rtl/>
          <w:lang w:eastAsia="en-US"/>
        </w:rPr>
        <w:t>חוזר</w:t>
      </w:r>
      <w:r w:rsidRPr="00341C3E">
        <w:rPr>
          <w:rFonts w:cs="David"/>
          <w:sz w:val="22"/>
          <w:szCs w:val="22"/>
          <w:rtl/>
          <w:lang w:eastAsia="en-US"/>
        </w:rPr>
        <w:t xml:space="preserve"> ה. שעה כספי </w:t>
      </w:r>
      <w:r w:rsidRPr="00341C3E">
        <w:rPr>
          <w:rFonts w:cs="David"/>
          <w:sz w:val="22"/>
          <w:szCs w:val="22"/>
          <w:rtl/>
          <w:lang w:eastAsia="en-US"/>
        </w:rPr>
        <w:br/>
        <w:t>2006-1-22</w:t>
      </w:r>
    </w:p>
    <w:p w:rsidR="00ED5542" w:rsidRPr="00341C3E" w:rsidRDefault="00ED5542" w:rsidP="00ED5542">
      <w:pPr>
        <w:pStyle w:val="Memo"/>
        <w:rPr>
          <w:rFonts w:cs="David"/>
          <w:sz w:val="22"/>
          <w:szCs w:val="22"/>
          <w:rtl/>
          <w:lang w:eastAsia="en-US"/>
        </w:rPr>
      </w:pPr>
    </w:p>
    <w:p w:rsidR="00ED5542" w:rsidRPr="00341C3E" w:rsidRDefault="00ED5542" w:rsidP="00ED5542">
      <w:pPr>
        <w:ind w:left="658" w:right="1560" w:hanging="658"/>
        <w:rPr>
          <w:b/>
          <w:bCs/>
          <w:sz w:val="22"/>
          <w:szCs w:val="22"/>
          <w:rtl/>
        </w:rPr>
      </w:pPr>
    </w:p>
    <w:p w:rsidR="00ED5542" w:rsidRPr="00341C3E" w:rsidRDefault="00ED5542" w:rsidP="00ED5542">
      <w:pPr>
        <w:ind w:left="483" w:right="1560" w:hanging="483"/>
        <w:rPr>
          <w:sz w:val="22"/>
          <w:szCs w:val="22"/>
          <w:rtl/>
          <w:lang w:eastAsia="en-US"/>
        </w:rPr>
      </w:pPr>
      <w:r w:rsidRPr="00341C3E">
        <w:rPr>
          <w:sz w:val="22"/>
          <w:szCs w:val="22"/>
          <w:rtl/>
          <w:lang w:eastAsia="en-US"/>
        </w:rPr>
        <w:t>אל:</w:t>
      </w:r>
      <w:r w:rsidRPr="00341C3E">
        <w:rPr>
          <w:rFonts w:hint="cs"/>
          <w:sz w:val="22"/>
          <w:szCs w:val="22"/>
          <w:rtl/>
          <w:lang w:eastAsia="en-US"/>
        </w:rPr>
        <w:t xml:space="preserve"> </w:t>
      </w:r>
      <w:r w:rsidRPr="00341C3E">
        <w:rPr>
          <w:sz w:val="22"/>
          <w:szCs w:val="22"/>
          <w:rtl/>
          <w:lang w:eastAsia="en-US"/>
        </w:rPr>
        <w:t xml:space="preserve"> </w:t>
      </w:r>
      <w:bookmarkStart w:id="56" w:name="MainToEl"/>
      <w:bookmarkEnd w:id="56"/>
      <w:r w:rsidRPr="00341C3E">
        <w:rPr>
          <w:rFonts w:hint="eastAsia"/>
          <w:sz w:val="22"/>
          <w:szCs w:val="22"/>
          <w:rtl/>
          <w:lang w:eastAsia="en-US"/>
        </w:rPr>
        <w:t>החשבים</w:t>
      </w:r>
      <w:r w:rsidRPr="00341C3E">
        <w:rPr>
          <w:sz w:val="22"/>
          <w:szCs w:val="22"/>
          <w:rtl/>
          <w:lang w:eastAsia="en-US"/>
        </w:rPr>
        <w:t xml:space="preserve"> במשרדי הממשלה</w:t>
      </w:r>
    </w:p>
    <w:p w:rsidR="00ED5542" w:rsidRPr="00341C3E" w:rsidRDefault="00ED5542" w:rsidP="00ED5542">
      <w:pPr>
        <w:ind w:right="1560"/>
        <w:rPr>
          <w:b/>
          <w:bCs/>
          <w:sz w:val="22"/>
          <w:szCs w:val="22"/>
          <w:rtl/>
        </w:rPr>
      </w:pPr>
    </w:p>
    <w:p w:rsidR="00ED5542" w:rsidRPr="00341C3E" w:rsidRDefault="00ED5542" w:rsidP="00ED5542">
      <w:pPr>
        <w:pStyle w:val="About"/>
        <w:tabs>
          <w:tab w:val="left" w:pos="746"/>
        </w:tabs>
        <w:rPr>
          <w:rFonts w:cs="David" w:hint="cs"/>
          <w:b/>
          <w:bCs/>
          <w:sz w:val="22"/>
          <w:szCs w:val="22"/>
          <w:u w:val="single"/>
          <w:rtl/>
          <w:lang w:eastAsia="en-US"/>
        </w:rPr>
      </w:pPr>
      <w:r w:rsidRPr="00341C3E">
        <w:rPr>
          <w:rFonts w:cs="David"/>
          <w:b/>
          <w:bCs/>
          <w:sz w:val="22"/>
          <w:szCs w:val="22"/>
          <w:rtl/>
          <w:lang w:eastAsia="en-US"/>
        </w:rPr>
        <w:t>הנדון:</w:t>
      </w:r>
      <w:r w:rsidRPr="00341C3E">
        <w:rPr>
          <w:rFonts w:cs="David" w:hint="cs"/>
          <w:b/>
          <w:bCs/>
          <w:sz w:val="22"/>
          <w:szCs w:val="22"/>
          <w:rtl/>
          <w:lang w:eastAsia="en-US"/>
        </w:rPr>
        <w:t xml:space="preserve"> </w:t>
      </w:r>
      <w:r w:rsidRPr="00341C3E">
        <w:rPr>
          <w:rFonts w:cs="David"/>
          <w:b/>
          <w:bCs/>
          <w:sz w:val="22"/>
          <w:szCs w:val="22"/>
          <w:u w:val="single"/>
          <w:rtl/>
          <w:lang w:eastAsia="en-US"/>
        </w:rPr>
        <w:tab/>
      </w:r>
      <w:bookmarkStart w:id="57" w:name="About"/>
      <w:bookmarkEnd w:id="57"/>
      <w:r w:rsidRPr="00341C3E">
        <w:rPr>
          <w:rFonts w:cs="David"/>
          <w:b/>
          <w:bCs/>
          <w:sz w:val="22"/>
          <w:szCs w:val="22"/>
          <w:u w:val="single"/>
          <w:rtl/>
          <w:lang w:eastAsia="en-US"/>
        </w:rPr>
        <w:t xml:space="preserve">החזר הוצאות נסיעה בתפקיד ברכב פרטי </w:t>
      </w:r>
    </w:p>
    <w:p w:rsidR="00ED5542" w:rsidRPr="00341C3E" w:rsidRDefault="00ED5542" w:rsidP="00ED5542">
      <w:pPr>
        <w:pStyle w:val="Reference"/>
        <w:tabs>
          <w:tab w:val="clear" w:pos="1474"/>
        </w:tabs>
        <w:rPr>
          <w:rFonts w:cs="David"/>
          <w:sz w:val="22"/>
          <w:szCs w:val="22"/>
          <w:rtl/>
          <w:lang w:eastAsia="en-US"/>
        </w:rPr>
      </w:pPr>
      <w:r w:rsidRPr="00341C3E">
        <w:rPr>
          <w:rFonts w:cs="David" w:hint="cs"/>
          <w:sz w:val="22"/>
          <w:szCs w:val="22"/>
          <w:rtl/>
          <w:lang w:eastAsia="en-US"/>
        </w:rPr>
        <w:t xml:space="preserve"> </w:t>
      </w:r>
      <w:r w:rsidRPr="00341C3E">
        <w:rPr>
          <w:rFonts w:cs="David"/>
          <w:sz w:val="22"/>
          <w:szCs w:val="22"/>
          <w:rtl/>
          <w:lang w:eastAsia="en-US"/>
        </w:rPr>
        <w:t>סימוכין:</w:t>
      </w:r>
      <w:r w:rsidRPr="00341C3E">
        <w:rPr>
          <w:rFonts w:cs="David"/>
          <w:sz w:val="22"/>
          <w:szCs w:val="22"/>
          <w:rtl/>
          <w:lang w:eastAsia="en-US"/>
        </w:rPr>
        <w:tab/>
      </w:r>
      <w:bookmarkStart w:id="58" w:name="Reference"/>
      <w:bookmarkEnd w:id="58"/>
      <w:r w:rsidRPr="00341C3E">
        <w:rPr>
          <w:rFonts w:cs="David"/>
          <w:sz w:val="22"/>
          <w:szCs w:val="22"/>
          <w:rtl/>
          <w:lang w:eastAsia="en-US"/>
        </w:rPr>
        <w:t>בשינוי להוראת שעה כספי 2005-1-57 מה-28 בנובמבר 2005</w:t>
      </w:r>
    </w:p>
    <w:p w:rsidR="00ED5542" w:rsidRPr="00341C3E" w:rsidRDefault="00ED5542" w:rsidP="00ED5542">
      <w:pPr>
        <w:pStyle w:val="Reference"/>
        <w:tabs>
          <w:tab w:val="clear" w:pos="1474"/>
        </w:tabs>
        <w:rPr>
          <w:rFonts w:cs="David"/>
          <w:sz w:val="22"/>
          <w:szCs w:val="22"/>
          <w:rtl/>
          <w:lang w:eastAsia="en-US"/>
        </w:rPr>
      </w:pPr>
      <w:bookmarkStart w:id="59" w:name="Adding05"/>
      <w:bookmarkEnd w:id="59"/>
    </w:p>
    <w:p w:rsidR="00ED5542" w:rsidRPr="00341C3E" w:rsidRDefault="00ED5542" w:rsidP="00ED5542">
      <w:pPr>
        <w:pStyle w:val="a3"/>
        <w:jc w:val="both"/>
        <w:rPr>
          <w:rFonts w:ascii="Times New Roman" w:hAnsi="Times New Roman" w:cs="David"/>
          <w:sz w:val="22"/>
          <w:szCs w:val="22"/>
          <w:rtl/>
        </w:rPr>
      </w:pPr>
      <w:bookmarkStart w:id="60" w:name="Adding04"/>
      <w:bookmarkStart w:id="61" w:name="Start"/>
      <w:bookmarkEnd w:id="60"/>
      <w:bookmarkEnd w:id="61"/>
    </w:p>
    <w:p w:rsidR="00ED5542" w:rsidRPr="00341C3E" w:rsidRDefault="00ED5542" w:rsidP="00ED5542">
      <w:pPr>
        <w:pStyle w:val="a3"/>
        <w:tabs>
          <w:tab w:val="left" w:pos="8369"/>
        </w:tabs>
        <w:ind w:right="1134"/>
        <w:jc w:val="both"/>
        <w:rPr>
          <w:rFonts w:ascii="Times New Roman" w:hAnsi="Times New Roman" w:cs="David" w:hint="cs"/>
          <w:b/>
          <w:bCs/>
          <w:sz w:val="22"/>
          <w:szCs w:val="22"/>
          <w:u w:val="single"/>
          <w:rtl/>
        </w:rPr>
      </w:pPr>
      <w:r w:rsidRPr="00341C3E">
        <w:rPr>
          <w:rFonts w:ascii="Times New Roman" w:hAnsi="Times New Roman" w:cs="David" w:hint="cs"/>
          <w:b/>
          <w:bCs/>
          <w:sz w:val="22"/>
          <w:szCs w:val="22"/>
          <w:u w:val="single"/>
          <w:rtl/>
        </w:rPr>
        <w:t>כללי</w:t>
      </w:r>
    </w:p>
    <w:p w:rsidR="00ED5542" w:rsidRPr="00341C3E" w:rsidRDefault="00ED5542" w:rsidP="00ED5542">
      <w:pPr>
        <w:pStyle w:val="a3"/>
        <w:tabs>
          <w:tab w:val="left" w:pos="8369"/>
        </w:tabs>
        <w:jc w:val="both"/>
        <w:rPr>
          <w:rFonts w:ascii="Times New Roman" w:hAnsi="Times New Roman" w:cs="David" w:hint="cs"/>
          <w:b/>
          <w:bCs/>
          <w:sz w:val="22"/>
          <w:szCs w:val="22"/>
          <w:rtl/>
        </w:rPr>
      </w:pPr>
    </w:p>
    <w:p w:rsidR="00ED5542" w:rsidRPr="00341C3E" w:rsidRDefault="00ED5542" w:rsidP="00ED5542">
      <w:pPr>
        <w:pStyle w:val="a3"/>
        <w:tabs>
          <w:tab w:val="left" w:pos="8369"/>
        </w:tabs>
        <w:jc w:val="both"/>
        <w:rPr>
          <w:rFonts w:ascii="Times New Roman" w:hAnsi="Times New Roman" w:cs="David" w:hint="cs"/>
          <w:b/>
          <w:bCs/>
          <w:sz w:val="22"/>
          <w:szCs w:val="22"/>
          <w:u w:val="single"/>
          <w:rtl/>
        </w:rPr>
      </w:pPr>
      <w:r w:rsidRPr="00341C3E">
        <w:rPr>
          <w:rFonts w:ascii="Times New Roman" w:hAnsi="Times New Roman" w:cs="David" w:hint="cs"/>
          <w:sz w:val="22"/>
          <w:szCs w:val="22"/>
          <w:rtl/>
        </w:rPr>
        <w:t xml:space="preserve">בשינוי לחוזר שבסימוכין, עודכנו בחוזר זה ההוראות בסעיף 11.5 בנושא הוצאות משתנות "מאגר" וסעיף 11.9 בנושא קצובת נסיעה לעובדים בעלי תקן רכב דרכים קשות וכן עודכן טופס ההצהרה לעובד שאושר לו החזר הוצאות רכב. </w:t>
      </w:r>
      <w:r w:rsidRPr="00341C3E">
        <w:rPr>
          <w:rFonts w:ascii="Times New Roman" w:hAnsi="Times New Roman" w:cs="David" w:hint="cs"/>
          <w:b/>
          <w:bCs/>
          <w:sz w:val="22"/>
          <w:szCs w:val="22"/>
          <w:u w:val="single"/>
          <w:rtl/>
        </w:rPr>
        <w:t>החוזר מרכז את כלל ההנחיות באשר להחזר הוצאות נסיעה בתפקיד, ומבטל כל חוזר אחר בנדון שפורסם לפני מועד זה.</w:t>
      </w:r>
    </w:p>
    <w:p w:rsidR="00ED5542" w:rsidRPr="00341C3E" w:rsidRDefault="00ED5542" w:rsidP="00ED5542">
      <w:pPr>
        <w:pStyle w:val="a3"/>
        <w:tabs>
          <w:tab w:val="left" w:pos="8369"/>
        </w:tabs>
        <w:jc w:val="both"/>
        <w:rPr>
          <w:rFonts w:ascii="Times New Roman" w:hAnsi="Times New Roman" w:cs="David" w:hint="cs"/>
          <w:sz w:val="22"/>
          <w:szCs w:val="22"/>
          <w:u w:val="single"/>
        </w:rPr>
      </w:pPr>
    </w:p>
    <w:p w:rsidR="00ED5542" w:rsidRPr="00341C3E" w:rsidRDefault="00ED5542" w:rsidP="00ED5542">
      <w:pPr>
        <w:pStyle w:val="a3"/>
        <w:numPr>
          <w:ilvl w:val="0"/>
          <w:numId w:val="8"/>
        </w:numPr>
        <w:tabs>
          <w:tab w:val="left" w:pos="8369"/>
        </w:tabs>
        <w:ind w:right="1134"/>
        <w:jc w:val="both"/>
        <w:rPr>
          <w:rFonts w:ascii="Times New Roman" w:hAnsi="Times New Roman" w:cs="David"/>
          <w:b/>
          <w:bCs/>
          <w:sz w:val="22"/>
          <w:szCs w:val="22"/>
          <w:u w:val="single"/>
          <w:rtl/>
        </w:rPr>
      </w:pPr>
      <w:r w:rsidRPr="00341C3E">
        <w:rPr>
          <w:rFonts w:ascii="Times New Roman" w:hAnsi="Times New Roman" w:cs="David" w:hint="cs"/>
          <w:b/>
          <w:bCs/>
          <w:sz w:val="22"/>
          <w:szCs w:val="22"/>
          <w:u w:val="single"/>
          <w:rtl/>
        </w:rPr>
        <w:t>מטרת הנוהל</w:t>
      </w:r>
    </w:p>
    <w:p w:rsidR="00ED5542" w:rsidRPr="00341C3E" w:rsidRDefault="00ED5542" w:rsidP="00ED5542">
      <w:pPr>
        <w:pStyle w:val="a3"/>
        <w:tabs>
          <w:tab w:val="left" w:pos="8369"/>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left" w:pos="8369"/>
        </w:tabs>
        <w:jc w:val="both"/>
        <w:rPr>
          <w:rFonts w:ascii="Times New Roman" w:hAnsi="Times New Roman" w:cs="David" w:hint="cs"/>
          <w:sz w:val="22"/>
          <w:szCs w:val="22"/>
        </w:rPr>
      </w:pPr>
      <w:r w:rsidRPr="00341C3E">
        <w:rPr>
          <w:rFonts w:ascii="Times New Roman" w:hAnsi="Times New Roman" w:cs="David"/>
          <w:sz w:val="22"/>
          <w:szCs w:val="22"/>
          <w:rtl/>
        </w:rPr>
        <w:t xml:space="preserve">הסדרת הכללים להחזרת הוצאות רכב, </w:t>
      </w:r>
      <w:r w:rsidRPr="00341C3E">
        <w:rPr>
          <w:rFonts w:ascii="Times New Roman" w:hAnsi="Times New Roman" w:cs="David" w:hint="cs"/>
          <w:sz w:val="22"/>
          <w:szCs w:val="22"/>
          <w:rtl/>
        </w:rPr>
        <w:t>עדכון ו</w:t>
      </w:r>
      <w:r w:rsidRPr="00341C3E">
        <w:rPr>
          <w:rFonts w:ascii="Times New Roman" w:hAnsi="Times New Roman" w:cs="David"/>
          <w:sz w:val="22"/>
          <w:szCs w:val="22"/>
          <w:rtl/>
        </w:rPr>
        <w:t>רענון ההוראות הקיימות</w:t>
      </w:r>
      <w:r w:rsidRPr="00341C3E">
        <w:rPr>
          <w:rFonts w:ascii="Times New Roman" w:hAnsi="Times New Roman" w:cs="David" w:hint="cs"/>
          <w:sz w:val="22"/>
          <w:szCs w:val="22"/>
          <w:rtl/>
        </w:rPr>
        <w:t>, הבחנה במכסת הק"מ השנתית במסגרת מכסת "מאגר" לעובדים הנדרשים לנסיעות מרובות בתפקיד בין הקבוצות השונות.</w:t>
      </w:r>
    </w:p>
    <w:p w:rsidR="00ED5542" w:rsidRPr="00341C3E" w:rsidRDefault="00ED5542" w:rsidP="00ED5542">
      <w:pPr>
        <w:pStyle w:val="a3"/>
        <w:tabs>
          <w:tab w:val="left" w:pos="1020"/>
        </w:tabs>
        <w:jc w:val="both"/>
        <w:rPr>
          <w:rFonts w:ascii="Times New Roman" w:hAnsi="Times New Roman" w:cs="David" w:hint="cs"/>
          <w:sz w:val="22"/>
          <w:szCs w:val="22"/>
        </w:rPr>
      </w:pPr>
      <w:r w:rsidRPr="00341C3E">
        <w:rPr>
          <w:rFonts w:ascii="Times New Roman" w:hAnsi="Times New Roman" w:cs="David"/>
          <w:sz w:val="22"/>
          <w:szCs w:val="22"/>
          <w:rtl/>
        </w:rPr>
        <w:tab/>
      </w:r>
    </w:p>
    <w:p w:rsidR="00ED5542" w:rsidRPr="00341C3E" w:rsidRDefault="00ED5542" w:rsidP="00ED5542">
      <w:pPr>
        <w:pStyle w:val="a3"/>
        <w:numPr>
          <w:ilvl w:val="0"/>
          <w:numId w:val="8"/>
        </w:numPr>
        <w:tabs>
          <w:tab w:val="left" w:pos="8369"/>
        </w:tabs>
        <w:jc w:val="both"/>
        <w:rPr>
          <w:rFonts w:ascii="Times New Roman" w:hAnsi="Times New Roman" w:cs="David"/>
          <w:b/>
          <w:bCs/>
          <w:sz w:val="22"/>
          <w:szCs w:val="22"/>
        </w:rPr>
      </w:pPr>
      <w:r w:rsidRPr="00341C3E">
        <w:rPr>
          <w:rFonts w:ascii="Times New Roman" w:hAnsi="Times New Roman" w:cs="David"/>
          <w:b/>
          <w:bCs/>
          <w:sz w:val="22"/>
          <w:szCs w:val="22"/>
          <w:u w:val="single"/>
          <w:rtl/>
        </w:rPr>
        <w:t>אישורים למתן רכב שרות או אישי</w:t>
      </w:r>
      <w:r w:rsidRPr="00341C3E">
        <w:rPr>
          <w:rFonts w:ascii="Times New Roman" w:hAnsi="Times New Roman" w:cs="David"/>
          <w:b/>
          <w:bCs/>
          <w:sz w:val="22"/>
          <w:szCs w:val="22"/>
          <w:rtl/>
        </w:rPr>
        <w:t xml:space="preserve">                                         </w:t>
      </w:r>
    </w:p>
    <w:p w:rsidR="00ED5542" w:rsidRPr="00341C3E" w:rsidRDefault="00ED5542" w:rsidP="00ED5542">
      <w:pPr>
        <w:pStyle w:val="a3"/>
        <w:tabs>
          <w:tab w:val="left" w:pos="8369"/>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left" w:pos="8369"/>
        </w:tabs>
        <w:jc w:val="both"/>
        <w:rPr>
          <w:rFonts w:ascii="Times New Roman" w:hAnsi="Times New Roman" w:cs="David"/>
          <w:sz w:val="22"/>
          <w:szCs w:val="22"/>
        </w:rPr>
      </w:pPr>
      <w:r w:rsidRPr="00341C3E">
        <w:rPr>
          <w:rFonts w:ascii="Times New Roman" w:hAnsi="Times New Roman" w:cs="David"/>
          <w:sz w:val="22"/>
          <w:szCs w:val="22"/>
          <w:rtl/>
        </w:rPr>
        <w:t xml:space="preserve">הבסיס למתן אישורים לרכב יהיה תקן הרכב, אשר  חייב  להיות  מאושר  על-ידי רפרנט אגף התקציבים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במשרד האוצר, </w:t>
      </w:r>
      <w:r w:rsidRPr="00341C3E">
        <w:rPr>
          <w:rFonts w:ascii="Times New Roman" w:hAnsi="Times New Roman" w:cs="David" w:hint="cs"/>
          <w:sz w:val="22"/>
          <w:szCs w:val="22"/>
          <w:rtl/>
        </w:rPr>
        <w:t xml:space="preserve">וכל </w:t>
      </w:r>
      <w:r w:rsidRPr="00341C3E">
        <w:rPr>
          <w:rFonts w:ascii="Times New Roman" w:hAnsi="Times New Roman" w:cs="David"/>
          <w:sz w:val="22"/>
          <w:szCs w:val="22"/>
          <w:rtl/>
        </w:rPr>
        <w:t>שינוי ב</w:t>
      </w:r>
      <w:r w:rsidRPr="00341C3E">
        <w:rPr>
          <w:rFonts w:ascii="Times New Roman" w:hAnsi="Times New Roman" w:cs="David" w:hint="cs"/>
          <w:sz w:val="22"/>
          <w:szCs w:val="22"/>
          <w:rtl/>
        </w:rPr>
        <w:t>תקן</w:t>
      </w:r>
      <w:r w:rsidRPr="00341C3E">
        <w:rPr>
          <w:rFonts w:ascii="Times New Roman" w:hAnsi="Times New Roman" w:cs="David"/>
          <w:sz w:val="22"/>
          <w:szCs w:val="22"/>
          <w:rtl/>
        </w:rPr>
        <w:t xml:space="preserve"> יחייב אישור כאמור.       </w:t>
      </w:r>
    </w:p>
    <w:p w:rsidR="00ED5542" w:rsidRPr="00341C3E" w:rsidRDefault="00ED5542" w:rsidP="00ED5542">
      <w:pPr>
        <w:pStyle w:val="a3"/>
        <w:tabs>
          <w:tab w:val="left" w:pos="8369"/>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left" w:pos="8369"/>
        </w:tabs>
        <w:jc w:val="both"/>
        <w:rPr>
          <w:rFonts w:ascii="Times New Roman" w:hAnsi="Times New Roman" w:cs="David"/>
          <w:sz w:val="22"/>
          <w:szCs w:val="22"/>
        </w:rPr>
      </w:pPr>
      <w:r w:rsidRPr="00341C3E">
        <w:rPr>
          <w:rFonts w:ascii="Times New Roman" w:hAnsi="Times New Roman" w:cs="David"/>
          <w:sz w:val="22"/>
          <w:szCs w:val="22"/>
          <w:rtl/>
        </w:rPr>
        <w:t>על חשבות המשרד להבטיח</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כי מתן זכאות לרכב לעובדים,  תהיה  תואמת  את  תקן הרכב של המשרד</w:t>
      </w:r>
      <w:r w:rsidRPr="00341C3E">
        <w:rPr>
          <w:rFonts w:ascii="Times New Roman" w:hAnsi="Times New Roman" w:cs="David" w:hint="cs"/>
          <w:sz w:val="22"/>
          <w:szCs w:val="22"/>
          <w:rtl/>
        </w:rPr>
        <w:t xml:space="preserve"> והתקציב</w:t>
      </w:r>
      <w:r w:rsidRPr="00341C3E">
        <w:rPr>
          <w:rFonts w:ascii="Times New Roman" w:hAnsi="Times New Roman" w:cs="David"/>
          <w:sz w:val="22"/>
          <w:szCs w:val="22"/>
          <w:rtl/>
        </w:rPr>
        <w:t xml:space="preserve">.                         </w:t>
      </w:r>
    </w:p>
    <w:p w:rsidR="00ED5542" w:rsidRPr="00341C3E" w:rsidRDefault="00ED5542" w:rsidP="00ED5542">
      <w:pPr>
        <w:pStyle w:val="a3"/>
        <w:tabs>
          <w:tab w:val="left" w:pos="8369"/>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left" w:pos="8369"/>
        </w:tabs>
        <w:jc w:val="both"/>
        <w:rPr>
          <w:rFonts w:ascii="Times New Roman" w:hAnsi="Times New Roman" w:cs="David"/>
          <w:sz w:val="22"/>
          <w:szCs w:val="22"/>
        </w:rPr>
      </w:pPr>
      <w:r w:rsidRPr="00341C3E">
        <w:rPr>
          <w:rFonts w:ascii="Times New Roman" w:hAnsi="Times New Roman" w:cs="David"/>
          <w:sz w:val="22"/>
          <w:szCs w:val="22"/>
          <w:rtl/>
        </w:rPr>
        <w:t>יש לוודא</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כי נוהל הקצאת הזכאות </w:t>
      </w:r>
      <w:r w:rsidRPr="00341C3E">
        <w:rPr>
          <w:rFonts w:ascii="Times New Roman" w:hAnsi="Times New Roman" w:cs="David" w:hint="cs"/>
          <w:sz w:val="22"/>
          <w:szCs w:val="22"/>
          <w:rtl/>
        </w:rPr>
        <w:t xml:space="preserve">דורש </w:t>
      </w:r>
      <w:r w:rsidRPr="00341C3E">
        <w:rPr>
          <w:rFonts w:ascii="Times New Roman" w:hAnsi="Times New Roman" w:cs="David"/>
          <w:sz w:val="22"/>
          <w:szCs w:val="22"/>
          <w:rtl/>
        </w:rPr>
        <w:t xml:space="preserve">מעורבות החשב בהליך האישור.     </w:t>
      </w:r>
    </w:p>
    <w:p w:rsidR="00ED5542" w:rsidRPr="00341C3E" w:rsidRDefault="00ED5542" w:rsidP="00ED5542">
      <w:pPr>
        <w:pStyle w:val="a3"/>
        <w:tabs>
          <w:tab w:val="left" w:pos="8369"/>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0"/>
          <w:numId w:val="8"/>
        </w:numPr>
        <w:tabs>
          <w:tab w:val="left" w:pos="8369"/>
        </w:tabs>
        <w:jc w:val="both"/>
        <w:rPr>
          <w:rFonts w:ascii="Times New Roman" w:hAnsi="Times New Roman" w:cs="David"/>
          <w:sz w:val="22"/>
          <w:szCs w:val="22"/>
        </w:rPr>
      </w:pPr>
      <w:r w:rsidRPr="00341C3E">
        <w:rPr>
          <w:rFonts w:ascii="Times New Roman" w:hAnsi="Times New Roman" w:cs="David"/>
          <w:b/>
          <w:bCs/>
          <w:sz w:val="22"/>
          <w:szCs w:val="22"/>
          <w:u w:val="single"/>
          <w:rtl/>
        </w:rPr>
        <w:t>הזכאות להחזר הוצאות לבעלי רכב שירות ואישי</w:t>
      </w:r>
      <w:r w:rsidRPr="00341C3E">
        <w:rPr>
          <w:rFonts w:ascii="Times New Roman" w:hAnsi="Times New Roman" w:cs="David"/>
          <w:sz w:val="22"/>
          <w:szCs w:val="22"/>
          <w:rtl/>
        </w:rPr>
        <w:t xml:space="preserve">                            </w:t>
      </w:r>
    </w:p>
    <w:p w:rsidR="00ED5542" w:rsidRPr="00341C3E" w:rsidRDefault="00ED5542" w:rsidP="00ED5542">
      <w:pPr>
        <w:pStyle w:val="a3"/>
        <w:tabs>
          <w:tab w:val="left" w:pos="8369"/>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left" w:pos="8225"/>
          <w:tab w:val="left" w:pos="8369"/>
        </w:tabs>
        <w:jc w:val="both"/>
        <w:rPr>
          <w:rFonts w:ascii="Times New Roman" w:hAnsi="Times New Roman" w:cs="David" w:hint="cs"/>
          <w:sz w:val="22"/>
          <w:szCs w:val="22"/>
        </w:rPr>
      </w:pPr>
      <w:r w:rsidRPr="00341C3E">
        <w:rPr>
          <w:rFonts w:ascii="Times New Roman" w:hAnsi="Times New Roman" w:cs="David"/>
          <w:sz w:val="22"/>
          <w:szCs w:val="22"/>
          <w:rtl/>
        </w:rPr>
        <w:t>תשלום החזר הוצאות רכב לבעלי רכב שירות ואישי מותנה בכך שלעובד רכב  כשיר ומורשה</w:t>
      </w:r>
      <w:r w:rsidRPr="00341C3E">
        <w:rPr>
          <w:rFonts w:ascii="Times New Roman" w:hAnsi="Times New Roman" w:cs="David" w:hint="cs"/>
          <w:sz w:val="22"/>
          <w:szCs w:val="22"/>
          <w:rtl/>
        </w:rPr>
        <w:t xml:space="preserve"> (בין היתר עם רישיון רכב </w:t>
      </w:r>
      <w:r w:rsidRPr="00341C3E">
        <w:rPr>
          <w:rFonts w:ascii="Times New Roman" w:hAnsi="Times New Roman" w:cs="David"/>
          <w:sz w:val="22"/>
          <w:szCs w:val="22"/>
          <w:rtl/>
        </w:rPr>
        <w:t>–</w:t>
      </w:r>
      <w:r w:rsidRPr="00341C3E">
        <w:rPr>
          <w:rFonts w:ascii="Times New Roman" w:hAnsi="Times New Roman" w:cs="David" w:hint="cs"/>
          <w:sz w:val="22"/>
          <w:szCs w:val="22"/>
          <w:rtl/>
        </w:rPr>
        <w:t xml:space="preserve"> טסט תקף) </w:t>
      </w:r>
      <w:r w:rsidRPr="00341C3E">
        <w:rPr>
          <w:rFonts w:ascii="Times New Roman" w:hAnsi="Times New Roman" w:cs="David"/>
          <w:sz w:val="22"/>
          <w:szCs w:val="22"/>
          <w:rtl/>
        </w:rPr>
        <w:t xml:space="preserve"> בבעלותו המלאה (או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בבעלות בן זוגו)  במשך  כל  השנה,  ושהוא  בעל  ר</w:t>
      </w:r>
      <w:r w:rsidRPr="00341C3E">
        <w:rPr>
          <w:rFonts w:ascii="Times New Roman" w:hAnsi="Times New Roman" w:cs="David" w:hint="cs"/>
          <w:sz w:val="22"/>
          <w:szCs w:val="22"/>
          <w:rtl/>
        </w:rPr>
        <w:t>י</w:t>
      </w:r>
      <w:r w:rsidRPr="00341C3E">
        <w:rPr>
          <w:rFonts w:ascii="Times New Roman" w:hAnsi="Times New Roman" w:cs="David"/>
          <w:sz w:val="22"/>
          <w:szCs w:val="22"/>
          <w:rtl/>
        </w:rPr>
        <w:t>שיון נהיגה בר תוקף ברכב זה</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להסרת כל ספק מובהר בזה, כי  לעניין  </w:t>
      </w:r>
      <w:r w:rsidRPr="00341C3E">
        <w:rPr>
          <w:rFonts w:ascii="Times New Roman" w:hAnsi="Times New Roman" w:cs="David"/>
          <w:sz w:val="22"/>
          <w:szCs w:val="22"/>
          <w:rtl/>
        </w:rPr>
        <w:lastRenderedPageBreak/>
        <w:t>החזר  הוצאות  רכב  - "בבעלותו המלאה (או בבעלות בן זוגו)" - הכוונה היא: שבמשרד  הרישוי  הרכב רשום על שם העובד (או על שם בן זוגו</w:t>
      </w:r>
      <w:r w:rsidRPr="00341C3E">
        <w:rPr>
          <w:rFonts w:ascii="Times New Roman" w:hAnsi="Times New Roman" w:cs="David" w:hint="cs"/>
          <w:sz w:val="22"/>
          <w:szCs w:val="22"/>
          <w:rtl/>
        </w:rPr>
        <w:t xml:space="preserve"> בלבד).</w:t>
      </w:r>
    </w:p>
    <w:p w:rsidR="00ED5542" w:rsidRPr="00341C3E" w:rsidRDefault="00ED5542" w:rsidP="00ED5542">
      <w:pPr>
        <w:pStyle w:val="a3"/>
        <w:tabs>
          <w:tab w:val="left" w:pos="8225"/>
          <w:tab w:val="left" w:pos="8369"/>
        </w:tabs>
        <w:jc w:val="both"/>
        <w:rPr>
          <w:rFonts w:ascii="Times New Roman" w:hAnsi="Times New Roman" w:cs="David" w:hint="cs"/>
          <w:sz w:val="22"/>
          <w:szCs w:val="22"/>
          <w:rtl/>
        </w:rPr>
      </w:pPr>
    </w:p>
    <w:p w:rsidR="00ED5542" w:rsidRPr="00341C3E" w:rsidRDefault="00ED5542" w:rsidP="00ED5542">
      <w:pPr>
        <w:pStyle w:val="a3"/>
        <w:numPr>
          <w:ilvl w:val="1"/>
          <w:numId w:val="8"/>
        </w:numPr>
        <w:tabs>
          <w:tab w:val="left" w:pos="8225"/>
          <w:tab w:val="left" w:pos="8369"/>
        </w:tabs>
        <w:jc w:val="both"/>
        <w:rPr>
          <w:rFonts w:ascii="Times New Roman" w:hAnsi="Times New Roman" w:cs="David"/>
          <w:sz w:val="22"/>
          <w:szCs w:val="22"/>
        </w:rPr>
      </w:pPr>
      <w:r w:rsidRPr="00341C3E">
        <w:rPr>
          <w:rFonts w:ascii="Times New Roman" w:hAnsi="Times New Roman" w:cs="David" w:hint="cs"/>
          <w:sz w:val="22"/>
          <w:szCs w:val="22"/>
          <w:rtl/>
        </w:rPr>
        <w:t xml:space="preserve">העובד יידרש </w:t>
      </w:r>
      <w:r w:rsidRPr="00341C3E">
        <w:rPr>
          <w:rFonts w:ascii="Times New Roman" w:hAnsi="Times New Roman" w:cs="David"/>
          <w:sz w:val="22"/>
          <w:szCs w:val="22"/>
          <w:rtl/>
        </w:rPr>
        <w:t>להצהיר</w:t>
      </w:r>
      <w:r w:rsidRPr="00341C3E">
        <w:rPr>
          <w:rFonts w:ascii="Times New Roman" w:hAnsi="Times New Roman" w:cs="David" w:hint="cs"/>
          <w:sz w:val="22"/>
          <w:szCs w:val="22"/>
          <w:rtl/>
        </w:rPr>
        <w:t>, כי הוא מתחייב לבצע את כל הנסיעות שיוטלו עליו על-ידי הממונה, בכל אמצעי תחבורה מתאים, במסגרת מכסת הק"מ שאושרה לו. כן יידרש להצהיר, שידוע לו כי תקן הרכב ומכסת הק"מ שהוקצבו לו נקבעו על-פי צרכי התפקיד ועשויים להשתנות על-פי שיקול דעתה של הנהלת המשרד.</w:t>
      </w:r>
      <w:r w:rsidRPr="00341C3E">
        <w:rPr>
          <w:rFonts w:ascii="Times New Roman" w:hAnsi="Times New Roman" w:cs="David"/>
          <w:sz w:val="22"/>
          <w:szCs w:val="22"/>
          <w:rtl/>
        </w:rPr>
        <w:t xml:space="preserve">                            </w:t>
      </w:r>
    </w:p>
    <w:p w:rsidR="00ED5542" w:rsidRPr="00341C3E" w:rsidRDefault="00ED5542" w:rsidP="00ED5542">
      <w:pPr>
        <w:pStyle w:val="a3"/>
        <w:tabs>
          <w:tab w:val="left" w:pos="8225"/>
          <w:tab w:val="left" w:pos="8369"/>
        </w:tabs>
        <w:ind w:left="998"/>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tabs>
          <w:tab w:val="left" w:pos="8083"/>
          <w:tab w:val="left" w:pos="8225"/>
          <w:tab w:val="left" w:pos="8369"/>
        </w:tabs>
        <w:ind w:left="998"/>
        <w:jc w:val="both"/>
        <w:rPr>
          <w:rFonts w:ascii="Times New Roman" w:hAnsi="Times New Roman" w:cs="David" w:hint="cs"/>
          <w:sz w:val="22"/>
          <w:szCs w:val="22"/>
          <w:rtl/>
        </w:rPr>
      </w:pPr>
      <w:r w:rsidRPr="00341C3E">
        <w:rPr>
          <w:rFonts w:ascii="Times New Roman" w:hAnsi="Times New Roman" w:cs="David" w:hint="cs"/>
          <w:sz w:val="22"/>
          <w:szCs w:val="22"/>
          <w:rtl/>
        </w:rPr>
        <w:t>נ</w:t>
      </w:r>
      <w:r w:rsidRPr="00341C3E">
        <w:rPr>
          <w:rFonts w:ascii="Times New Roman" w:hAnsi="Times New Roman" w:cs="David"/>
          <w:sz w:val="22"/>
          <w:szCs w:val="22"/>
          <w:rtl/>
        </w:rPr>
        <w:t>וסח ההצהרה מצורף לנוהל זה.</w:t>
      </w:r>
      <w:r w:rsidRPr="00341C3E">
        <w:rPr>
          <w:rFonts w:ascii="Times New Roman" w:hAnsi="Times New Roman" w:cs="David" w:hint="cs"/>
          <w:sz w:val="22"/>
          <w:szCs w:val="22"/>
          <w:rtl/>
        </w:rPr>
        <w:t xml:space="preserve"> ההצהרה כאמור תתויק  בחשבות המשרד, והינה תנאי מקדמי לתשלום החזר הוצאות.</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 w:val="left" w:pos="8225"/>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decimal" w:pos="7658"/>
          <w:tab w:val="decimal" w:pos="7800"/>
          <w:tab w:val="decimal" w:pos="7942"/>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העובד יהיה חופשי לבצע את  הנסיעות  הדרושות  למילוי  תפקידו  בכל  אמצעי תחבורה </w:t>
      </w:r>
      <w:r w:rsidRPr="00341C3E">
        <w:rPr>
          <w:rFonts w:ascii="Times New Roman" w:hAnsi="Times New Roman" w:cs="David" w:hint="cs"/>
          <w:sz w:val="22"/>
          <w:szCs w:val="22"/>
          <w:rtl/>
        </w:rPr>
        <w:t>ה</w:t>
      </w:r>
      <w:r w:rsidRPr="00341C3E">
        <w:rPr>
          <w:rFonts w:ascii="Times New Roman" w:hAnsi="Times New Roman" w:cs="David"/>
          <w:sz w:val="22"/>
          <w:szCs w:val="22"/>
          <w:rtl/>
        </w:rPr>
        <w:t>מתאים למטרה זו</w:t>
      </w:r>
      <w:r w:rsidRPr="00341C3E">
        <w:rPr>
          <w:rFonts w:ascii="Times New Roman" w:hAnsi="Times New Roman" w:cs="David" w:hint="cs"/>
          <w:sz w:val="22"/>
          <w:szCs w:val="22"/>
          <w:rtl/>
        </w:rPr>
        <w:t>. עובד יהיה ראשי לבקש החזר בגין נסיעותיו בתפקיד</w:t>
      </w:r>
      <w:r w:rsidRPr="00341C3E">
        <w:rPr>
          <w:rFonts w:ascii="Times New Roman" w:hAnsi="Times New Roman" w:cs="David"/>
          <w:sz w:val="22"/>
          <w:szCs w:val="22"/>
          <w:rtl/>
        </w:rPr>
        <w:t xml:space="preserve"> לרבות</w:t>
      </w:r>
      <w:r w:rsidRPr="00341C3E">
        <w:rPr>
          <w:rFonts w:ascii="Times New Roman" w:hAnsi="Times New Roman" w:cs="David" w:hint="cs"/>
          <w:sz w:val="22"/>
          <w:szCs w:val="22"/>
          <w:rtl/>
        </w:rPr>
        <w:t xml:space="preserve"> ב</w:t>
      </w:r>
      <w:r w:rsidRPr="00341C3E">
        <w:rPr>
          <w:rFonts w:ascii="Times New Roman" w:hAnsi="Times New Roman" w:cs="David"/>
          <w:sz w:val="22"/>
          <w:szCs w:val="22"/>
          <w:rtl/>
        </w:rPr>
        <w:t>רכבו  הפרטי</w:t>
      </w:r>
      <w:r w:rsidRPr="00341C3E">
        <w:rPr>
          <w:rFonts w:ascii="Times New Roman" w:hAnsi="Times New Roman" w:cs="David" w:hint="cs"/>
          <w:sz w:val="22"/>
          <w:szCs w:val="22"/>
          <w:rtl/>
        </w:rPr>
        <w:t xml:space="preserve"> או ב</w:t>
      </w:r>
      <w:r w:rsidRPr="00341C3E">
        <w:rPr>
          <w:rFonts w:ascii="Times New Roman" w:hAnsi="Times New Roman" w:cs="David"/>
          <w:sz w:val="22"/>
          <w:szCs w:val="22"/>
          <w:rtl/>
        </w:rPr>
        <w:t>תחבורה ציבורית</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w:t>
      </w:r>
      <w:r w:rsidRPr="00341C3E">
        <w:rPr>
          <w:rFonts w:ascii="Times New Roman" w:hAnsi="Times New Roman" w:cs="David" w:hint="cs"/>
          <w:b/>
          <w:bCs/>
          <w:sz w:val="22"/>
          <w:szCs w:val="22"/>
          <w:rtl/>
        </w:rPr>
        <w:t>עובד לא יבקש החזר בגין נסיעה, שלא הייתה כרוכה בעלויות עבורו, לדוגמא: נסיעה ברכב ממשלתי או הצטרפות לנסיעה עם רכב אחר</w:t>
      </w:r>
      <w:r w:rsidRPr="00341C3E">
        <w:rPr>
          <w:rFonts w:ascii="Times New Roman" w:hAnsi="Times New Roman" w:cs="David"/>
          <w:b/>
          <w:bCs/>
          <w:sz w:val="22"/>
          <w:szCs w:val="22"/>
          <w:rtl/>
        </w:rPr>
        <w:t xml:space="preserve">.   </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s>
        <w:ind w:left="715"/>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decimal" w:pos="7800"/>
          <w:tab w:val="left" w:pos="8083"/>
          <w:tab w:val="left" w:pos="8228"/>
        </w:tabs>
        <w:jc w:val="both"/>
        <w:rPr>
          <w:rFonts w:ascii="Times New Roman" w:hAnsi="Times New Roman" w:cs="David" w:hint="cs"/>
          <w:sz w:val="22"/>
          <w:szCs w:val="22"/>
        </w:rPr>
      </w:pPr>
      <w:r w:rsidRPr="00341C3E">
        <w:rPr>
          <w:rFonts w:ascii="Times New Roman" w:hAnsi="Times New Roman" w:cs="David"/>
          <w:sz w:val="22"/>
          <w:szCs w:val="22"/>
          <w:rtl/>
        </w:rPr>
        <w:t xml:space="preserve">עובדים בעלי רכב שירות ואישי, הזכאים להחזר הוצאות  נסיעה  בתפקיד,  אינם רשאים </w:t>
      </w:r>
      <w:r w:rsidRPr="00341C3E">
        <w:rPr>
          <w:rFonts w:ascii="Times New Roman" w:hAnsi="Times New Roman" w:cs="David" w:hint="cs"/>
          <w:sz w:val="22"/>
          <w:szCs w:val="22"/>
          <w:rtl/>
        </w:rPr>
        <w:t xml:space="preserve">לדרוש החזר בגין נסיעותיהם </w:t>
      </w:r>
      <w:r w:rsidRPr="00341C3E">
        <w:rPr>
          <w:rFonts w:ascii="Times New Roman" w:hAnsi="Times New Roman" w:cs="David"/>
          <w:sz w:val="22"/>
          <w:szCs w:val="22"/>
          <w:rtl/>
        </w:rPr>
        <w:t xml:space="preserve">ברכב ממשלתי </w:t>
      </w:r>
      <w:r w:rsidRPr="00341C3E">
        <w:rPr>
          <w:rFonts w:ascii="Times New Roman" w:hAnsi="Times New Roman" w:cs="David" w:hint="cs"/>
          <w:sz w:val="22"/>
          <w:szCs w:val="22"/>
          <w:rtl/>
        </w:rPr>
        <w:t>א</w:t>
      </w:r>
      <w:r w:rsidRPr="00341C3E">
        <w:rPr>
          <w:rFonts w:ascii="Times New Roman" w:hAnsi="Times New Roman" w:cs="David"/>
          <w:sz w:val="22"/>
          <w:szCs w:val="22"/>
          <w:rtl/>
        </w:rPr>
        <w:t xml:space="preserve">ו ברכב שכור (כולל רכב איגום).  </w:t>
      </w:r>
    </w:p>
    <w:p w:rsidR="00ED5542" w:rsidRPr="00341C3E" w:rsidRDefault="00ED5542" w:rsidP="00ED5542">
      <w:pPr>
        <w:pStyle w:val="a3"/>
        <w:tabs>
          <w:tab w:val="decimal" w:pos="7800"/>
          <w:tab w:val="left" w:pos="8083"/>
        </w:tabs>
        <w:ind w:left="397"/>
        <w:jc w:val="both"/>
        <w:rPr>
          <w:rFonts w:ascii="Times New Roman" w:hAnsi="Times New Roman" w:cs="David" w:hint="cs"/>
          <w:sz w:val="22"/>
          <w:szCs w:val="22"/>
        </w:rPr>
      </w:pPr>
    </w:p>
    <w:p w:rsidR="00ED5542" w:rsidRPr="00341C3E" w:rsidRDefault="00ED5542" w:rsidP="00ED5542">
      <w:pPr>
        <w:pStyle w:val="a3"/>
        <w:numPr>
          <w:ilvl w:val="1"/>
          <w:numId w:val="8"/>
        </w:numPr>
        <w:tabs>
          <w:tab w:val="decimal" w:pos="7800"/>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בעלי רכב שירות ואישי יהיו חייבים להמשיך ולהגיש  את  הדוח  החודשי  על נסיעותיהם בתפקיד, על-גבי הטופס הקיים - חשבון נסיעות ואש"ל (מדף 2430). </w:t>
      </w:r>
      <w:r w:rsidRPr="00341C3E">
        <w:rPr>
          <w:rFonts w:ascii="Times New Roman" w:hAnsi="Times New Roman" w:cs="David" w:hint="cs"/>
          <w:sz w:val="22"/>
          <w:szCs w:val="22"/>
          <w:rtl/>
        </w:rPr>
        <w:t xml:space="preserve">הדיווח על המרחקים של יעדי הנסיעה </w:t>
      </w:r>
      <w:r w:rsidRPr="00341C3E">
        <w:rPr>
          <w:rFonts w:ascii="Times New Roman" w:hAnsi="Times New Roman" w:cs="David" w:hint="cs"/>
          <w:sz w:val="22"/>
          <w:szCs w:val="22"/>
          <w:u w:val="single"/>
          <w:rtl/>
        </w:rPr>
        <w:t>לא</w:t>
      </w:r>
      <w:r w:rsidRPr="00341C3E">
        <w:rPr>
          <w:rFonts w:ascii="Times New Roman" w:hAnsi="Times New Roman" w:cs="David" w:hint="cs"/>
          <w:sz w:val="22"/>
          <w:szCs w:val="22"/>
          <w:rtl/>
        </w:rPr>
        <w:t xml:space="preserve">  יעלו על מרחקי הדרך המפורטים בטבלת מרחקי הדרך המצורפת להוראה זו (מרחק בין גבול עירוני לגבול עירוני).</w:t>
      </w:r>
    </w:p>
    <w:p w:rsidR="00ED5542" w:rsidRPr="00341C3E" w:rsidRDefault="00ED5542" w:rsidP="00ED5542">
      <w:pPr>
        <w:pStyle w:val="a3"/>
        <w:tabs>
          <w:tab w:val="decimal" w:pos="7800"/>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decimal" w:pos="7800"/>
          <w:tab w:val="left" w:pos="8083"/>
          <w:tab w:val="left" w:pos="8228"/>
        </w:tabs>
        <w:jc w:val="both"/>
        <w:rPr>
          <w:rFonts w:ascii="Times New Roman" w:hAnsi="Times New Roman" w:cs="David" w:hint="cs"/>
          <w:sz w:val="22"/>
          <w:szCs w:val="22"/>
          <w:rtl/>
        </w:rPr>
      </w:pPr>
      <w:r w:rsidRPr="00341C3E">
        <w:rPr>
          <w:rFonts w:ascii="Times New Roman" w:hAnsi="Times New Roman" w:cs="David"/>
          <w:sz w:val="22"/>
          <w:szCs w:val="22"/>
          <w:rtl/>
        </w:rPr>
        <w:t xml:space="preserve">על נסיעות בתפקיד בעיר </w:t>
      </w:r>
      <w:r w:rsidRPr="00341C3E">
        <w:rPr>
          <w:rFonts w:ascii="Times New Roman" w:hAnsi="Times New Roman" w:cs="David" w:hint="cs"/>
          <w:sz w:val="22"/>
          <w:szCs w:val="22"/>
          <w:rtl/>
        </w:rPr>
        <w:t>בה מקום העבודה של העובד</w:t>
      </w:r>
      <w:r w:rsidRPr="00341C3E">
        <w:rPr>
          <w:rFonts w:ascii="Times New Roman" w:hAnsi="Times New Roman" w:cs="David"/>
          <w:sz w:val="22"/>
          <w:szCs w:val="22"/>
          <w:rtl/>
        </w:rPr>
        <w:t xml:space="preserve"> או בעיר היעד, ניתן לדווח ללא  פירוט עד ל-500 ק"מ בחודש. במקרים בהם היקף הנסיעות </w:t>
      </w:r>
      <w:r w:rsidRPr="00341C3E">
        <w:rPr>
          <w:rFonts w:ascii="Times New Roman" w:hAnsi="Times New Roman" w:cs="David"/>
          <w:b/>
          <w:bCs/>
          <w:sz w:val="22"/>
          <w:szCs w:val="22"/>
          <w:u w:val="single"/>
          <w:rtl/>
        </w:rPr>
        <w:t>בעיר</w:t>
      </w:r>
      <w:r w:rsidRPr="00341C3E">
        <w:rPr>
          <w:rFonts w:ascii="Times New Roman" w:hAnsi="Times New Roman" w:cs="David"/>
          <w:sz w:val="22"/>
          <w:szCs w:val="22"/>
          <w:rtl/>
        </w:rPr>
        <w:t xml:space="preserve"> עולה על 500  ק"מ  בחודש,</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על העובד לדווח פירוט מלא על כל נסיעה ונסיעה באותו  החודש  (</w:t>
      </w:r>
      <w:r w:rsidRPr="00341C3E">
        <w:rPr>
          <w:rFonts w:ascii="Times New Roman" w:hAnsi="Times New Roman" w:cs="David" w:hint="cs"/>
          <w:sz w:val="22"/>
          <w:szCs w:val="22"/>
          <w:rtl/>
        </w:rPr>
        <w:t xml:space="preserve">החל מהק"מ הראשון </w:t>
      </w:r>
      <w:r w:rsidRPr="00341C3E">
        <w:rPr>
          <w:rFonts w:ascii="Times New Roman" w:hAnsi="Times New Roman" w:cs="David"/>
          <w:sz w:val="22"/>
          <w:szCs w:val="22"/>
          <w:rtl/>
        </w:rPr>
        <w:t>כולל</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 ה-500</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ק"מ). </w:t>
      </w:r>
    </w:p>
    <w:p w:rsidR="00ED5542" w:rsidRPr="00341C3E" w:rsidRDefault="00ED5542" w:rsidP="00ED5542">
      <w:pPr>
        <w:pStyle w:val="a3"/>
        <w:tabs>
          <w:tab w:val="decimal" w:pos="7800"/>
          <w:tab w:val="left" w:pos="8083"/>
          <w:tab w:val="left" w:pos="8228"/>
        </w:tabs>
        <w:ind w:left="998"/>
        <w:jc w:val="both"/>
        <w:rPr>
          <w:rFonts w:ascii="Times New Roman" w:hAnsi="Times New Roman" w:cs="David" w:hint="cs"/>
          <w:sz w:val="22"/>
          <w:szCs w:val="22"/>
          <w:rtl/>
        </w:rPr>
      </w:pPr>
    </w:p>
    <w:p w:rsidR="00ED5542" w:rsidRPr="00341C3E" w:rsidRDefault="00ED5542" w:rsidP="00ED5542">
      <w:pPr>
        <w:pStyle w:val="a3"/>
        <w:numPr>
          <w:ilvl w:val="1"/>
          <w:numId w:val="8"/>
        </w:numPr>
        <w:tabs>
          <w:tab w:val="decimal" w:pos="7800"/>
          <w:tab w:val="left" w:pos="8083"/>
          <w:tab w:val="left" w:pos="8228"/>
        </w:tabs>
        <w:jc w:val="both"/>
        <w:rPr>
          <w:rFonts w:ascii="Times New Roman" w:hAnsi="Times New Roman" w:cs="David" w:hint="cs"/>
          <w:sz w:val="22"/>
          <w:szCs w:val="22"/>
        </w:rPr>
      </w:pPr>
      <w:r w:rsidRPr="00341C3E">
        <w:rPr>
          <w:rFonts w:ascii="Times New Roman" w:hAnsi="Times New Roman" w:cs="David"/>
          <w:sz w:val="22"/>
          <w:szCs w:val="22"/>
          <w:rtl/>
        </w:rPr>
        <w:t>עובד המועסק ומקבל שכר רק בחלק משנת התקציב,  יקבל  החזר  הוצאות  קבועות יחסית לתקופת העסקתו במשך שנה זו. מכסת המינימום</w:t>
      </w:r>
      <w:r w:rsidRPr="00341C3E">
        <w:rPr>
          <w:rFonts w:ascii="Times New Roman" w:hAnsi="Times New Roman" w:cs="David" w:hint="cs"/>
          <w:sz w:val="22"/>
          <w:szCs w:val="22"/>
          <w:rtl/>
        </w:rPr>
        <w:t xml:space="preserve"> (כהגדרתה בסעיף 11.5)</w:t>
      </w:r>
      <w:r w:rsidRPr="00341C3E">
        <w:rPr>
          <w:rFonts w:ascii="Times New Roman" w:hAnsi="Times New Roman" w:cs="David"/>
          <w:sz w:val="22"/>
          <w:szCs w:val="22"/>
          <w:rtl/>
        </w:rPr>
        <w:t xml:space="preserve"> במקרים אלה תקבע אף  היא באופן יחסי לתקופת ההעסקה.</w:t>
      </w:r>
    </w:p>
    <w:p w:rsidR="00ED5542" w:rsidRPr="00341C3E" w:rsidRDefault="00ED5542" w:rsidP="00ED5542">
      <w:pPr>
        <w:pStyle w:val="a3"/>
        <w:tabs>
          <w:tab w:val="decimal" w:pos="7800"/>
          <w:tab w:val="left" w:pos="8083"/>
          <w:tab w:val="left" w:pos="8228"/>
        </w:tabs>
        <w:jc w:val="both"/>
        <w:rPr>
          <w:rFonts w:ascii="Times New Roman" w:hAnsi="Times New Roman" w:cs="David" w:hint="cs"/>
          <w:sz w:val="22"/>
          <w:szCs w:val="22"/>
          <w:rtl/>
        </w:rPr>
      </w:pPr>
    </w:p>
    <w:p w:rsidR="00ED5542" w:rsidRPr="00341C3E" w:rsidRDefault="00ED5542" w:rsidP="00ED5542">
      <w:pPr>
        <w:pStyle w:val="a3"/>
        <w:numPr>
          <w:ilvl w:val="1"/>
          <w:numId w:val="8"/>
        </w:numPr>
        <w:tabs>
          <w:tab w:val="left" w:pos="8225"/>
          <w:tab w:val="left" w:pos="8369"/>
        </w:tabs>
        <w:jc w:val="both"/>
        <w:rPr>
          <w:rFonts w:ascii="Times New Roman" w:hAnsi="Times New Roman" w:cs="David"/>
          <w:sz w:val="22"/>
          <w:szCs w:val="22"/>
        </w:rPr>
      </w:pPr>
      <w:r w:rsidRPr="00341C3E">
        <w:rPr>
          <w:rFonts w:ascii="Times New Roman" w:hAnsi="Times New Roman" w:cs="David" w:hint="cs"/>
          <w:sz w:val="22"/>
          <w:szCs w:val="22"/>
          <w:rtl/>
        </w:rPr>
        <w:t>ל</w:t>
      </w:r>
      <w:r w:rsidRPr="00341C3E">
        <w:rPr>
          <w:rFonts w:ascii="Times New Roman" w:hAnsi="Times New Roman" w:cs="David"/>
          <w:sz w:val="22"/>
          <w:szCs w:val="22"/>
          <w:rtl/>
        </w:rPr>
        <w:t>א ישולם החזר הוצאות בעד תקופה בה לא התמלאו</w:t>
      </w:r>
      <w:r w:rsidRPr="00341C3E">
        <w:rPr>
          <w:rFonts w:ascii="Times New Roman" w:hAnsi="Times New Roman" w:cs="David" w:hint="cs"/>
          <w:sz w:val="22"/>
          <w:szCs w:val="22"/>
          <w:rtl/>
        </w:rPr>
        <w:t xml:space="preserve"> כל</w:t>
      </w:r>
      <w:r w:rsidRPr="00341C3E">
        <w:rPr>
          <w:rFonts w:ascii="Times New Roman" w:hAnsi="Times New Roman" w:cs="David"/>
          <w:sz w:val="22"/>
          <w:szCs w:val="22"/>
          <w:rtl/>
        </w:rPr>
        <w:t xml:space="preserve"> </w:t>
      </w:r>
      <w:r w:rsidRPr="00341C3E">
        <w:rPr>
          <w:rFonts w:ascii="Times New Roman" w:hAnsi="Times New Roman" w:cs="David" w:hint="cs"/>
          <w:sz w:val="22"/>
          <w:szCs w:val="22"/>
          <w:rtl/>
        </w:rPr>
        <w:t>ה</w:t>
      </w:r>
      <w:r w:rsidRPr="00341C3E">
        <w:rPr>
          <w:rFonts w:ascii="Times New Roman" w:hAnsi="Times New Roman" w:cs="David"/>
          <w:sz w:val="22"/>
          <w:szCs w:val="22"/>
          <w:rtl/>
        </w:rPr>
        <w:t xml:space="preserve">תנאים </w:t>
      </w:r>
      <w:r w:rsidRPr="00341C3E">
        <w:rPr>
          <w:rFonts w:ascii="Times New Roman" w:hAnsi="Times New Roman" w:cs="David" w:hint="cs"/>
          <w:sz w:val="22"/>
          <w:szCs w:val="22"/>
          <w:rtl/>
        </w:rPr>
        <w:t>ה</w:t>
      </w:r>
      <w:r w:rsidRPr="00341C3E">
        <w:rPr>
          <w:rFonts w:ascii="Times New Roman" w:hAnsi="Times New Roman" w:cs="David"/>
          <w:sz w:val="22"/>
          <w:szCs w:val="22"/>
          <w:rtl/>
        </w:rPr>
        <w:t xml:space="preserve">אלה.                                                 </w:t>
      </w:r>
    </w:p>
    <w:p w:rsidR="00ED5542" w:rsidRPr="00341C3E" w:rsidRDefault="00ED5542" w:rsidP="00ED5542">
      <w:pPr>
        <w:pStyle w:val="a3"/>
        <w:tabs>
          <w:tab w:val="left" w:pos="8225"/>
          <w:tab w:val="left" w:pos="8369"/>
        </w:tabs>
        <w:jc w:val="both"/>
        <w:rPr>
          <w:rFonts w:ascii="Times New Roman" w:hAnsi="Times New Roman" w:cs="David" w:hint="cs"/>
          <w:sz w:val="22"/>
          <w:szCs w:val="22"/>
          <w:rtl/>
        </w:rPr>
      </w:pPr>
    </w:p>
    <w:p w:rsidR="00ED5542" w:rsidRPr="00341C3E" w:rsidRDefault="00ED5542" w:rsidP="00ED5542">
      <w:pPr>
        <w:pStyle w:val="a3"/>
        <w:tabs>
          <w:tab w:val="decimal" w:pos="7800"/>
          <w:tab w:val="left" w:pos="8083"/>
          <w:tab w:val="left" w:pos="8228"/>
        </w:tabs>
        <w:jc w:val="both"/>
        <w:rPr>
          <w:rFonts w:ascii="Times New Roman" w:hAnsi="Times New Roman" w:cs="David"/>
          <w:sz w:val="22"/>
          <w:szCs w:val="22"/>
        </w:rPr>
      </w:pPr>
    </w:p>
    <w:p w:rsidR="00ED5542" w:rsidRPr="00341C3E" w:rsidRDefault="00ED5542" w:rsidP="00ED5542">
      <w:pPr>
        <w:pStyle w:val="a3"/>
        <w:numPr>
          <w:ilvl w:val="0"/>
          <w:numId w:val="8"/>
        </w:numPr>
        <w:tabs>
          <w:tab w:val="decimal" w:pos="7800"/>
          <w:tab w:val="left" w:pos="8083"/>
          <w:tab w:val="left" w:pos="8228"/>
        </w:tabs>
        <w:jc w:val="both"/>
        <w:rPr>
          <w:rFonts w:ascii="Times New Roman" w:hAnsi="Times New Roman" w:cs="David"/>
          <w:b/>
          <w:bCs/>
          <w:sz w:val="22"/>
          <w:szCs w:val="22"/>
        </w:rPr>
      </w:pPr>
      <w:r w:rsidRPr="00341C3E">
        <w:rPr>
          <w:rFonts w:ascii="Times New Roman" w:hAnsi="Times New Roman" w:cs="David"/>
          <w:b/>
          <w:bCs/>
          <w:sz w:val="22"/>
          <w:szCs w:val="22"/>
          <w:u w:val="single"/>
          <w:rtl/>
        </w:rPr>
        <w:t>נסיעות בתפקיד במכונית אחת על-ידי שני בני הזוג</w:t>
      </w:r>
      <w:r w:rsidRPr="00341C3E">
        <w:rPr>
          <w:rFonts w:ascii="Times New Roman" w:hAnsi="Times New Roman" w:cs="David"/>
          <w:b/>
          <w:bCs/>
          <w:sz w:val="22"/>
          <w:szCs w:val="22"/>
          <w:rtl/>
        </w:rPr>
        <w:t xml:space="preserve">  </w:t>
      </w:r>
    </w:p>
    <w:p w:rsidR="00ED5542" w:rsidRPr="00341C3E" w:rsidRDefault="00ED5542" w:rsidP="00ED5542">
      <w:pPr>
        <w:pStyle w:val="a3"/>
        <w:tabs>
          <w:tab w:val="decimal" w:pos="7800"/>
          <w:tab w:val="left" w:pos="8083"/>
          <w:tab w:val="left" w:pos="8228"/>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decimal" w:pos="7800"/>
          <w:tab w:val="left" w:pos="8083"/>
          <w:tab w:val="left" w:pos="8228"/>
        </w:tabs>
        <w:jc w:val="both"/>
        <w:rPr>
          <w:rFonts w:ascii="Times New Roman" w:hAnsi="Times New Roman" w:cs="David" w:hint="cs"/>
          <w:sz w:val="22"/>
          <w:szCs w:val="22"/>
        </w:rPr>
      </w:pPr>
      <w:r w:rsidRPr="00341C3E">
        <w:rPr>
          <w:rFonts w:ascii="Times New Roman" w:hAnsi="Times New Roman" w:cs="David"/>
          <w:sz w:val="22"/>
          <w:szCs w:val="22"/>
          <w:rtl/>
        </w:rPr>
        <w:t>בני זוג העובדים שניהם בשירות המדינה או במוסד/גוף שהוכר כ"קופה ציבורית" לפי חוק שירות המדינה (גמלאות)</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(נוסח  משולב),  תש"ל-1970,  ושניהם  אושרו כבעלי רכב שירות ו/או אישי, יוכלו להשתמש באותה  מכונית  לסירוגין  לצורך</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נסיעותיהם בתפקיד. החזר השתתפות בהוצאות המשתנות לכל  ק"מ  נסיעה  בתפקיד</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ישולם לכל אחד מבני הזוג בנפרד לגבי נסיעותיו שלו. </w:t>
      </w:r>
    </w:p>
    <w:p w:rsidR="00ED5542" w:rsidRPr="00341C3E" w:rsidRDefault="00ED5542" w:rsidP="00ED5542">
      <w:pPr>
        <w:pStyle w:val="a3"/>
        <w:tabs>
          <w:tab w:val="decimal" w:pos="7800"/>
          <w:tab w:val="left" w:pos="8083"/>
          <w:tab w:val="left" w:pos="8228"/>
        </w:tabs>
        <w:ind w:left="397"/>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tabs>
          <w:tab w:val="decimal" w:pos="7800"/>
          <w:tab w:val="left" w:pos="8083"/>
          <w:tab w:val="left" w:pos="8228"/>
        </w:tabs>
        <w:ind w:left="397"/>
        <w:jc w:val="both"/>
        <w:rPr>
          <w:rFonts w:ascii="Times New Roman" w:hAnsi="Times New Roman" w:cs="David" w:hint="cs"/>
          <w:sz w:val="22"/>
          <w:szCs w:val="22"/>
        </w:rPr>
      </w:pPr>
      <w:r w:rsidRPr="00341C3E">
        <w:rPr>
          <w:rFonts w:ascii="Times New Roman" w:hAnsi="Times New Roman" w:cs="David"/>
          <w:sz w:val="22"/>
          <w:szCs w:val="22"/>
        </w:rPr>
        <w:br w:type="page"/>
      </w:r>
    </w:p>
    <w:p w:rsidR="00ED5542" w:rsidRPr="00341C3E" w:rsidRDefault="00ED5542" w:rsidP="00ED5542">
      <w:pPr>
        <w:pStyle w:val="a3"/>
        <w:numPr>
          <w:ilvl w:val="1"/>
          <w:numId w:val="8"/>
        </w:numPr>
        <w:tabs>
          <w:tab w:val="decimal" w:pos="6952"/>
          <w:tab w:val="left" w:pos="8083"/>
          <w:tab w:val="left" w:pos="8228"/>
        </w:tabs>
        <w:jc w:val="both"/>
        <w:rPr>
          <w:rFonts w:ascii="Times New Roman" w:hAnsi="Times New Roman" w:cs="David" w:hint="cs"/>
          <w:sz w:val="22"/>
          <w:szCs w:val="22"/>
        </w:rPr>
      </w:pPr>
      <w:r w:rsidRPr="00341C3E">
        <w:rPr>
          <w:rFonts w:ascii="Times New Roman" w:hAnsi="Times New Roman" w:cs="David"/>
          <w:sz w:val="22"/>
          <w:szCs w:val="22"/>
          <w:rtl/>
        </w:rPr>
        <w:t xml:space="preserve">המשרדים יכולים להשתתף בסכום החודשי של ההוצאות הקבועות ובלבד  ששני  בני הזוג לא יקבלו ביחד סכום העולה על הסכום שנקבע </w:t>
      </w:r>
      <w:r w:rsidRPr="00341C3E">
        <w:rPr>
          <w:rFonts w:ascii="Times New Roman" w:hAnsi="Times New Roman" w:cs="David" w:hint="cs"/>
          <w:sz w:val="22"/>
          <w:szCs w:val="22"/>
          <w:rtl/>
        </w:rPr>
        <w:t>כהוצאות קבועות לדרגת ניידות ד'.</w:t>
      </w:r>
      <w:r w:rsidRPr="00341C3E">
        <w:rPr>
          <w:rFonts w:ascii="Times New Roman" w:hAnsi="Times New Roman" w:cs="David"/>
          <w:sz w:val="22"/>
          <w:szCs w:val="22"/>
          <w:rtl/>
        </w:rPr>
        <w:t xml:space="preserve">    </w:t>
      </w:r>
    </w:p>
    <w:p w:rsidR="00ED5542" w:rsidRPr="00341C3E" w:rsidRDefault="00ED5542" w:rsidP="00ED5542">
      <w:pPr>
        <w:pStyle w:val="a3"/>
        <w:tabs>
          <w:tab w:val="decimal" w:pos="6952"/>
          <w:tab w:val="left" w:pos="8083"/>
          <w:tab w:val="left" w:pos="8228"/>
        </w:tabs>
        <w:jc w:val="both"/>
        <w:rPr>
          <w:rFonts w:ascii="Times New Roman" w:hAnsi="Times New Roman" w:cs="David" w:hint="cs"/>
          <w:sz w:val="22"/>
          <w:szCs w:val="22"/>
          <w:rtl/>
        </w:rPr>
      </w:pPr>
    </w:p>
    <w:p w:rsidR="00ED5542" w:rsidRPr="00341C3E" w:rsidRDefault="00ED5542" w:rsidP="00ED5542">
      <w:pPr>
        <w:pStyle w:val="a3"/>
        <w:numPr>
          <w:ilvl w:val="1"/>
          <w:numId w:val="8"/>
        </w:numPr>
        <w:tabs>
          <w:tab w:val="decimal" w:pos="6952"/>
          <w:tab w:val="left" w:pos="8083"/>
          <w:tab w:val="left" w:pos="8228"/>
        </w:tabs>
        <w:jc w:val="both"/>
        <w:rPr>
          <w:rFonts w:ascii="Times New Roman" w:hAnsi="Times New Roman" w:cs="David" w:hint="cs"/>
          <w:sz w:val="22"/>
          <w:szCs w:val="22"/>
        </w:rPr>
      </w:pPr>
      <w:r w:rsidRPr="00341C3E">
        <w:rPr>
          <w:rFonts w:ascii="Times New Roman" w:hAnsi="Times New Roman" w:cs="David"/>
          <w:sz w:val="22"/>
          <w:szCs w:val="22"/>
          <w:rtl/>
        </w:rPr>
        <w:t xml:space="preserve">אם בן/בת הזוג עצמאי, או אינו עובד בשירות המדינה או ב"קופה ציבורית", לא תחול ההגבלה של תשלום ההוצאות הקבועות לגבי עובד המדינה.    </w:t>
      </w:r>
    </w:p>
    <w:p w:rsidR="00ED5542" w:rsidRPr="00341C3E" w:rsidRDefault="00ED5542" w:rsidP="00ED5542">
      <w:pPr>
        <w:pStyle w:val="a3"/>
        <w:tabs>
          <w:tab w:val="decimal" w:pos="6952"/>
          <w:tab w:val="left" w:pos="8083"/>
          <w:tab w:val="left" w:pos="8228"/>
        </w:tabs>
        <w:jc w:val="both"/>
        <w:rPr>
          <w:rFonts w:ascii="Times New Roman" w:hAnsi="Times New Roman" w:cs="David" w:hint="cs"/>
          <w:sz w:val="22"/>
          <w:szCs w:val="22"/>
          <w:rtl/>
        </w:rPr>
      </w:pPr>
    </w:p>
    <w:p w:rsidR="00ED5542" w:rsidRPr="00341C3E" w:rsidRDefault="00ED5542" w:rsidP="00ED5542">
      <w:pPr>
        <w:pStyle w:val="a3"/>
        <w:numPr>
          <w:ilvl w:val="1"/>
          <w:numId w:val="8"/>
        </w:numPr>
        <w:tabs>
          <w:tab w:val="decimal" w:pos="6952"/>
          <w:tab w:val="left" w:pos="8083"/>
          <w:tab w:val="left" w:pos="8228"/>
        </w:tabs>
        <w:jc w:val="both"/>
        <w:rPr>
          <w:rFonts w:ascii="Times New Roman" w:hAnsi="Times New Roman" w:cs="David" w:hint="cs"/>
          <w:sz w:val="22"/>
          <w:szCs w:val="22"/>
        </w:rPr>
      </w:pPr>
      <w:r w:rsidRPr="00341C3E">
        <w:rPr>
          <w:rFonts w:ascii="Times New Roman" w:hAnsi="Times New Roman" w:cs="David"/>
          <w:sz w:val="22"/>
          <w:szCs w:val="22"/>
          <w:rtl/>
        </w:rPr>
        <w:t xml:space="preserve">החזר הוצאות רישוי וביטוח לבעל רכב שירות, במקרה של שני בני זוג  הנוהגים ברכב, ייעשה על-ידי המשרד הממשלתי, על-פי הצהרה של עובד  המדינה  שלבן/בת הזוג לא הוחזרו תשלומים אלה במקום עבודתו/ה. </w:t>
      </w:r>
    </w:p>
    <w:p w:rsidR="00ED5542" w:rsidRPr="00341C3E" w:rsidRDefault="00ED5542" w:rsidP="00ED5542">
      <w:pPr>
        <w:pStyle w:val="a3"/>
        <w:tabs>
          <w:tab w:val="decimal" w:pos="6952"/>
          <w:tab w:val="left" w:pos="8083"/>
          <w:tab w:val="left" w:pos="8228"/>
        </w:tabs>
        <w:jc w:val="both"/>
        <w:rPr>
          <w:rFonts w:ascii="Times New Roman" w:hAnsi="Times New Roman" w:cs="David" w:hint="cs"/>
          <w:sz w:val="22"/>
          <w:szCs w:val="22"/>
          <w:rtl/>
        </w:rPr>
      </w:pPr>
    </w:p>
    <w:p w:rsidR="00ED5542" w:rsidRPr="00341C3E" w:rsidRDefault="00ED5542" w:rsidP="00ED5542">
      <w:pPr>
        <w:pStyle w:val="a3"/>
        <w:tabs>
          <w:tab w:val="decimal" w:pos="6952"/>
          <w:tab w:val="left" w:pos="8083"/>
          <w:tab w:val="left" w:pos="8228"/>
        </w:tabs>
        <w:ind w:left="397"/>
        <w:jc w:val="both"/>
        <w:rPr>
          <w:rFonts w:ascii="Times New Roman" w:hAnsi="Times New Roman" w:cs="David" w:hint="cs"/>
          <w:sz w:val="22"/>
          <w:szCs w:val="22"/>
          <w:rtl/>
        </w:rPr>
      </w:pPr>
    </w:p>
    <w:p w:rsidR="00ED5542" w:rsidRPr="00341C3E" w:rsidRDefault="00ED5542" w:rsidP="00ED5542">
      <w:pPr>
        <w:pStyle w:val="a3"/>
        <w:numPr>
          <w:ilvl w:val="0"/>
          <w:numId w:val="8"/>
        </w:numPr>
        <w:tabs>
          <w:tab w:val="left" w:pos="8083"/>
        </w:tabs>
        <w:jc w:val="both"/>
        <w:rPr>
          <w:rFonts w:ascii="Times New Roman" w:hAnsi="Times New Roman" w:cs="David" w:hint="cs"/>
          <w:sz w:val="22"/>
          <w:szCs w:val="22"/>
        </w:rPr>
      </w:pPr>
      <w:r w:rsidRPr="00341C3E">
        <w:rPr>
          <w:rFonts w:ascii="Times New Roman" w:hAnsi="Times New Roman" w:cs="David"/>
          <w:b/>
          <w:bCs/>
          <w:sz w:val="22"/>
          <w:szCs w:val="22"/>
          <w:u w:val="single"/>
          <w:rtl/>
        </w:rPr>
        <w:t>קצובת נסיעה לבעלי רכב שירות אישי</w:t>
      </w: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numPr>
          <w:ilvl w:val="1"/>
          <w:numId w:val="8"/>
        </w:numPr>
        <w:tabs>
          <w:tab w:val="left" w:pos="8083"/>
        </w:tabs>
        <w:jc w:val="both"/>
        <w:rPr>
          <w:rFonts w:ascii="Times New Roman" w:hAnsi="Times New Roman" w:cs="David" w:hint="cs"/>
          <w:sz w:val="22"/>
          <w:szCs w:val="22"/>
        </w:rPr>
      </w:pPr>
      <w:r w:rsidRPr="00341C3E">
        <w:rPr>
          <w:rFonts w:ascii="Times New Roman" w:hAnsi="Times New Roman" w:cs="David"/>
          <w:sz w:val="22"/>
          <w:szCs w:val="22"/>
          <w:rtl/>
        </w:rPr>
        <w:t>מכסת הקילומטרים, המאושרת לבעלי רכב שירות או אישי, אינה כוללת את מכסת</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הקילומטרים ממקום מגורי העובד למקום עבודתו הקבוע.  עובדים  כנ"ל  זכאים,</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 אפוא, לקצובת נסיעה בכפיפות להוראת התקשי"ר</w:t>
      </w:r>
      <w:r w:rsidRPr="00341C3E">
        <w:rPr>
          <w:rFonts w:ascii="Times New Roman" w:hAnsi="Times New Roman" w:cs="David" w:hint="cs"/>
          <w:sz w:val="22"/>
          <w:szCs w:val="22"/>
          <w:rtl/>
        </w:rPr>
        <w:t xml:space="preserve"> והוראות החשב הכללי.</w:t>
      </w:r>
    </w:p>
    <w:p w:rsidR="00ED5542" w:rsidRPr="00341C3E" w:rsidRDefault="00ED5542" w:rsidP="00ED5542">
      <w:pPr>
        <w:pStyle w:val="a3"/>
        <w:tabs>
          <w:tab w:val="left" w:pos="8083"/>
        </w:tabs>
        <w:ind w:left="397"/>
        <w:jc w:val="both"/>
        <w:rPr>
          <w:rFonts w:ascii="Times New Roman" w:hAnsi="Times New Roman" w:cs="David" w:hint="cs"/>
          <w:sz w:val="22"/>
          <w:szCs w:val="22"/>
          <w:rtl/>
        </w:rPr>
      </w:pPr>
    </w:p>
    <w:p w:rsidR="00ED5542" w:rsidRPr="00341C3E" w:rsidRDefault="00ED5542" w:rsidP="00ED5542">
      <w:pPr>
        <w:pStyle w:val="a3"/>
        <w:numPr>
          <w:ilvl w:val="0"/>
          <w:numId w:val="8"/>
        </w:numPr>
        <w:tabs>
          <w:tab w:val="left" w:pos="8083"/>
        </w:tabs>
        <w:jc w:val="both"/>
        <w:rPr>
          <w:rFonts w:ascii="Times New Roman" w:hAnsi="Times New Roman" w:cs="David" w:hint="cs"/>
          <w:sz w:val="22"/>
          <w:szCs w:val="22"/>
        </w:rPr>
      </w:pPr>
      <w:r w:rsidRPr="00341C3E">
        <w:rPr>
          <w:rFonts w:ascii="Times New Roman" w:hAnsi="Times New Roman" w:cs="David"/>
          <w:b/>
          <w:bCs/>
          <w:sz w:val="22"/>
          <w:szCs w:val="22"/>
          <w:u w:val="single"/>
          <w:rtl/>
        </w:rPr>
        <w:t>ההוצאות הקבועות</w:t>
      </w: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numPr>
          <w:ilvl w:val="1"/>
          <w:numId w:val="8"/>
        </w:numPr>
        <w:tabs>
          <w:tab w:val="left" w:pos="8083"/>
        </w:tabs>
        <w:jc w:val="both"/>
        <w:rPr>
          <w:rFonts w:ascii="Times New Roman" w:hAnsi="Times New Roman" w:cs="David" w:hint="cs"/>
          <w:sz w:val="22"/>
          <w:szCs w:val="22"/>
        </w:rPr>
      </w:pPr>
      <w:r w:rsidRPr="00341C3E">
        <w:rPr>
          <w:rFonts w:ascii="Times New Roman" w:hAnsi="Times New Roman" w:cs="David"/>
          <w:sz w:val="22"/>
          <w:szCs w:val="22"/>
          <w:rtl/>
        </w:rPr>
        <w:t>מבעל רכב שירות, שנסיעותיו בתפקיד  במשך  השנה  יסתכמו  בפחות  קילומטרים ממכסת הקילומטרים שנקבעה ברמת ניידותו כחובת דיווח  בסיסית  שנתית,  וכן מבעל רכב אישי שנסיעותיו בתפקיד במשך השנה יסתכמו בפחות קילומטרים מהמכסה</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 שנקבעה בדרגת ניידותו, ינוכה החלק  היחסי  השנתי  המתאים  של</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ההוצאות הקבועות.</w:t>
      </w:r>
    </w:p>
    <w:p w:rsidR="00ED5542" w:rsidRPr="00341C3E" w:rsidRDefault="00ED5542" w:rsidP="00ED5542">
      <w:pPr>
        <w:pStyle w:val="a3"/>
        <w:tabs>
          <w:tab w:val="left" w:pos="8083"/>
        </w:tabs>
        <w:jc w:val="both"/>
        <w:rPr>
          <w:rFonts w:ascii="Times New Roman" w:hAnsi="Times New Roman" w:cs="David" w:hint="cs"/>
          <w:sz w:val="22"/>
          <w:szCs w:val="22"/>
        </w:rPr>
      </w:pPr>
    </w:p>
    <w:p w:rsidR="00ED5542" w:rsidRPr="00341C3E" w:rsidRDefault="00ED5542" w:rsidP="00ED5542">
      <w:pPr>
        <w:pStyle w:val="a3"/>
        <w:numPr>
          <w:ilvl w:val="1"/>
          <w:numId w:val="8"/>
        </w:numPr>
        <w:tabs>
          <w:tab w:val="left" w:pos="8083"/>
          <w:tab w:val="left" w:pos="8222"/>
        </w:tabs>
        <w:jc w:val="both"/>
        <w:rPr>
          <w:rFonts w:ascii="Times New Roman" w:hAnsi="Times New Roman" w:cs="David" w:hint="cs"/>
          <w:sz w:val="22"/>
          <w:szCs w:val="22"/>
        </w:rPr>
      </w:pPr>
      <w:r w:rsidRPr="00341C3E">
        <w:rPr>
          <w:rFonts w:ascii="Times New Roman" w:hAnsi="Times New Roman" w:cs="David"/>
          <w:sz w:val="22"/>
          <w:szCs w:val="22"/>
          <w:rtl/>
        </w:rPr>
        <w:t>אם מתברר על-פי הדוחות החודשיים במרוצת השנה, כי העובד לא מבצע את המכסה היחסית הבסיסית</w:t>
      </w:r>
      <w:r w:rsidRPr="00341C3E">
        <w:rPr>
          <w:rFonts w:ascii="Times New Roman" w:hAnsi="Times New Roman" w:cs="David" w:hint="cs"/>
          <w:sz w:val="22"/>
          <w:szCs w:val="22"/>
          <w:rtl/>
        </w:rPr>
        <w:t xml:space="preserve"> (כמוגדר בסעיף 11.5), </w:t>
      </w:r>
      <w:r w:rsidRPr="00341C3E">
        <w:rPr>
          <w:rFonts w:ascii="Times New Roman" w:hAnsi="Times New Roman" w:cs="David"/>
          <w:sz w:val="22"/>
          <w:szCs w:val="22"/>
          <w:rtl/>
        </w:rPr>
        <w:t xml:space="preserve">יש לעדכן מייד את ההוצאות הקבועות.                     </w:t>
      </w:r>
    </w:p>
    <w:p w:rsidR="00ED5542" w:rsidRPr="00341C3E" w:rsidRDefault="00ED5542" w:rsidP="00ED5542">
      <w:pPr>
        <w:pStyle w:val="a3"/>
        <w:tabs>
          <w:tab w:val="left" w:pos="8083"/>
          <w:tab w:val="left" w:pos="8222"/>
        </w:tabs>
        <w:jc w:val="both"/>
        <w:rPr>
          <w:rFonts w:ascii="Times New Roman" w:hAnsi="Times New Roman" w:cs="David" w:hint="cs"/>
          <w:sz w:val="22"/>
          <w:szCs w:val="22"/>
          <w:rtl/>
        </w:rPr>
      </w:pPr>
    </w:p>
    <w:p w:rsidR="00ED5542" w:rsidRPr="00341C3E" w:rsidRDefault="00ED5542" w:rsidP="00ED5542">
      <w:pPr>
        <w:pStyle w:val="a3"/>
        <w:numPr>
          <w:ilvl w:val="1"/>
          <w:numId w:val="8"/>
        </w:numPr>
        <w:tabs>
          <w:tab w:val="left" w:pos="8083"/>
          <w:tab w:val="left" w:pos="8222"/>
        </w:tabs>
        <w:jc w:val="both"/>
        <w:rPr>
          <w:rFonts w:ascii="Times New Roman" w:hAnsi="Times New Roman" w:cs="David" w:hint="cs"/>
          <w:sz w:val="22"/>
          <w:szCs w:val="22"/>
        </w:rPr>
      </w:pPr>
      <w:r w:rsidRPr="00341C3E">
        <w:rPr>
          <w:rFonts w:ascii="Times New Roman" w:hAnsi="Times New Roman" w:cs="David"/>
          <w:sz w:val="22"/>
          <w:szCs w:val="22"/>
          <w:rtl/>
        </w:rPr>
        <w:t xml:space="preserve">בעל רכב שירות או אישי, המועסק ומקבל משכורת רק בחלק משנת  התקציב,  יהא  זכאי להחזר הוצאות קבועות, יחסית לתקופת העסקתו במשך  אותה  שנה,  אף  אם ביצע את כל מכסת הק"מ השנתית. במקרים כאלה תיקבע מכסת המינימום, אף היא יחסית לתקופת העסקה ולחלקיות משרתו.    </w:t>
      </w:r>
    </w:p>
    <w:p w:rsidR="00ED5542" w:rsidRPr="00341C3E" w:rsidRDefault="00ED5542" w:rsidP="00ED5542">
      <w:pPr>
        <w:pStyle w:val="a3"/>
        <w:tabs>
          <w:tab w:val="left" w:pos="8083"/>
          <w:tab w:val="left" w:pos="8222"/>
        </w:tabs>
        <w:ind w:left="397"/>
        <w:jc w:val="both"/>
        <w:rPr>
          <w:rFonts w:ascii="Times New Roman" w:hAnsi="Times New Roman" w:cs="David" w:hint="cs"/>
          <w:sz w:val="22"/>
          <w:szCs w:val="22"/>
        </w:rPr>
      </w:pPr>
    </w:p>
    <w:p w:rsidR="00ED5542" w:rsidRPr="00341C3E" w:rsidRDefault="00ED5542" w:rsidP="00ED5542">
      <w:pPr>
        <w:pStyle w:val="a3"/>
        <w:numPr>
          <w:ilvl w:val="1"/>
          <w:numId w:val="8"/>
        </w:numPr>
        <w:tabs>
          <w:tab w:val="left" w:pos="8083"/>
          <w:tab w:val="left" w:pos="8222"/>
        </w:tabs>
        <w:jc w:val="both"/>
        <w:rPr>
          <w:rFonts w:ascii="Times New Roman" w:hAnsi="Times New Roman" w:cs="David" w:hint="cs"/>
          <w:sz w:val="22"/>
          <w:szCs w:val="22"/>
        </w:rPr>
      </w:pPr>
      <w:r w:rsidRPr="00341C3E">
        <w:rPr>
          <w:rFonts w:ascii="Times New Roman" w:hAnsi="Times New Roman" w:cs="David"/>
          <w:sz w:val="22"/>
          <w:szCs w:val="22"/>
          <w:rtl/>
        </w:rPr>
        <w:t>הקצאה של מכסת ק"מ נוספת מהאיגום לא תגרום לשינוי באישור הבסיסי של  רמת הניידות</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שאושרה לעובד בתקן הרכב</w:t>
      </w:r>
      <w:r w:rsidRPr="00341C3E">
        <w:rPr>
          <w:rFonts w:ascii="Times New Roman" w:hAnsi="Times New Roman" w:cs="David" w:hint="cs"/>
          <w:sz w:val="22"/>
          <w:szCs w:val="22"/>
          <w:rtl/>
        </w:rPr>
        <w:t>.</w:t>
      </w:r>
    </w:p>
    <w:p w:rsidR="00ED5542" w:rsidRPr="00341C3E" w:rsidRDefault="00ED5542" w:rsidP="00ED5542">
      <w:pPr>
        <w:pStyle w:val="a3"/>
        <w:tabs>
          <w:tab w:val="left" w:pos="8083"/>
          <w:tab w:val="left" w:pos="8222"/>
        </w:tabs>
        <w:jc w:val="both"/>
        <w:rPr>
          <w:rFonts w:ascii="Times New Roman" w:hAnsi="Times New Roman" w:cs="David" w:hint="cs"/>
          <w:sz w:val="22"/>
          <w:szCs w:val="22"/>
          <w:rtl/>
        </w:rPr>
      </w:pPr>
    </w:p>
    <w:p w:rsidR="00ED5542" w:rsidRPr="00341C3E" w:rsidRDefault="00ED5542" w:rsidP="00ED5542">
      <w:pPr>
        <w:pStyle w:val="a3"/>
        <w:numPr>
          <w:ilvl w:val="1"/>
          <w:numId w:val="8"/>
        </w:numPr>
        <w:tabs>
          <w:tab w:val="left" w:pos="8083"/>
          <w:tab w:val="left" w:pos="8222"/>
        </w:tabs>
        <w:jc w:val="both"/>
        <w:rPr>
          <w:rFonts w:ascii="Times New Roman" w:hAnsi="Times New Roman" w:cs="David" w:hint="cs"/>
          <w:sz w:val="22"/>
          <w:szCs w:val="22"/>
        </w:rPr>
      </w:pPr>
      <w:r w:rsidRPr="00341C3E">
        <w:rPr>
          <w:rFonts w:ascii="Times New Roman" w:hAnsi="Times New Roman" w:cs="David" w:hint="cs"/>
          <w:sz w:val="22"/>
          <w:szCs w:val="22"/>
          <w:rtl/>
        </w:rPr>
        <w:t>סכומי ההוצאות הקבועות המשולמות לעובד בעל רכב שירות ואישי כוללים דמי חניה.</w:t>
      </w:r>
    </w:p>
    <w:p w:rsidR="00ED5542" w:rsidRPr="00341C3E" w:rsidRDefault="00ED5542" w:rsidP="00ED5542">
      <w:pPr>
        <w:pStyle w:val="a3"/>
        <w:tabs>
          <w:tab w:val="left" w:pos="8083"/>
          <w:tab w:val="left" w:pos="8222"/>
        </w:tabs>
        <w:jc w:val="both"/>
        <w:rPr>
          <w:rFonts w:ascii="Times New Roman" w:hAnsi="Times New Roman" w:cs="David" w:hint="cs"/>
          <w:sz w:val="22"/>
          <w:szCs w:val="22"/>
          <w:rtl/>
        </w:rPr>
      </w:pPr>
      <w:r w:rsidRPr="00341C3E">
        <w:rPr>
          <w:rFonts w:ascii="Times New Roman" w:hAnsi="Times New Roman" w:cs="David"/>
          <w:sz w:val="22"/>
          <w:szCs w:val="22"/>
          <w:rtl/>
        </w:rPr>
        <w:br w:type="page"/>
      </w:r>
    </w:p>
    <w:p w:rsidR="00ED5542" w:rsidRPr="00341C3E" w:rsidRDefault="00ED5542" w:rsidP="00ED5542">
      <w:pPr>
        <w:pStyle w:val="a3"/>
        <w:numPr>
          <w:ilvl w:val="0"/>
          <w:numId w:val="8"/>
        </w:numPr>
        <w:tabs>
          <w:tab w:val="left" w:pos="8083"/>
          <w:tab w:val="left" w:pos="8222"/>
        </w:tabs>
        <w:jc w:val="both"/>
        <w:rPr>
          <w:rFonts w:ascii="Times New Roman" w:hAnsi="Times New Roman" w:cs="David" w:hint="cs"/>
          <w:sz w:val="22"/>
          <w:szCs w:val="22"/>
        </w:rPr>
      </w:pPr>
      <w:r w:rsidRPr="00341C3E">
        <w:rPr>
          <w:rFonts w:ascii="Times New Roman" w:hAnsi="Times New Roman" w:cs="David" w:hint="cs"/>
          <w:b/>
          <w:bCs/>
          <w:sz w:val="22"/>
          <w:szCs w:val="22"/>
          <w:u w:val="single"/>
          <w:rtl/>
        </w:rPr>
        <w:t>היעדרות בתשלום מסיבת חופשה, מחלה או השתלמות</w:t>
      </w:r>
    </w:p>
    <w:p w:rsidR="00ED5542" w:rsidRPr="00341C3E" w:rsidRDefault="00ED5542" w:rsidP="00ED5542">
      <w:pPr>
        <w:pStyle w:val="a3"/>
        <w:tabs>
          <w:tab w:val="left" w:pos="8083"/>
          <w:tab w:val="left" w:pos="8222"/>
        </w:tabs>
        <w:jc w:val="both"/>
        <w:rPr>
          <w:rFonts w:ascii="Times New Roman" w:hAnsi="Times New Roman" w:cs="David" w:hint="cs"/>
          <w:sz w:val="22"/>
          <w:szCs w:val="22"/>
          <w:rtl/>
        </w:rPr>
      </w:pPr>
    </w:p>
    <w:p w:rsidR="00ED5542" w:rsidRPr="00341C3E" w:rsidRDefault="00ED5542" w:rsidP="00ED5542">
      <w:pPr>
        <w:pStyle w:val="a3"/>
        <w:numPr>
          <w:ilvl w:val="1"/>
          <w:numId w:val="8"/>
        </w:numPr>
        <w:tabs>
          <w:tab w:val="left" w:pos="8083"/>
          <w:tab w:val="left" w:pos="8222"/>
        </w:tabs>
        <w:jc w:val="both"/>
        <w:rPr>
          <w:rFonts w:ascii="Times New Roman" w:hAnsi="Times New Roman" w:cs="David" w:hint="cs"/>
          <w:sz w:val="22"/>
          <w:szCs w:val="22"/>
        </w:rPr>
      </w:pPr>
      <w:r w:rsidRPr="00341C3E">
        <w:rPr>
          <w:rFonts w:ascii="Times New Roman" w:hAnsi="Times New Roman" w:cs="David"/>
          <w:sz w:val="22"/>
          <w:szCs w:val="22"/>
          <w:rtl/>
        </w:rPr>
        <w:t>עובד בעל רכב שירות או אישי, הנעדר מהעבודה  בתשלום  מסיבת חופשה,  מחלה, או השתלמות יהא זכאי להחזר הוצאות קבועות  גם  בעד  תקופות  כנ"ל,  מותנה בביצוע מכסת הק"מ השנתית המינימלית</w:t>
      </w:r>
      <w:r w:rsidRPr="00341C3E">
        <w:rPr>
          <w:rFonts w:ascii="Times New Roman" w:hAnsi="Times New Roman" w:cs="David" w:hint="cs"/>
          <w:sz w:val="22"/>
          <w:szCs w:val="22"/>
          <w:rtl/>
        </w:rPr>
        <w:t>.</w:t>
      </w:r>
      <w:r w:rsidRPr="00341C3E">
        <w:rPr>
          <w:rFonts w:cs="David"/>
          <w:sz w:val="22"/>
          <w:szCs w:val="22"/>
          <w:rtl/>
        </w:rPr>
        <w:t xml:space="preserve"> </w:t>
      </w:r>
    </w:p>
    <w:p w:rsidR="00ED5542" w:rsidRPr="00341C3E" w:rsidRDefault="00ED5542" w:rsidP="00ED5542">
      <w:pPr>
        <w:pStyle w:val="a3"/>
        <w:tabs>
          <w:tab w:val="left" w:pos="8083"/>
          <w:tab w:val="left" w:pos="8222"/>
        </w:tabs>
        <w:jc w:val="both"/>
        <w:rPr>
          <w:rFonts w:ascii="Times New Roman" w:hAnsi="Times New Roman" w:cs="David" w:hint="cs"/>
          <w:sz w:val="22"/>
          <w:szCs w:val="22"/>
          <w:rtl/>
        </w:rPr>
      </w:pPr>
    </w:p>
    <w:p w:rsidR="00ED5542" w:rsidRPr="00341C3E" w:rsidRDefault="00ED5542" w:rsidP="00ED5542">
      <w:pPr>
        <w:pStyle w:val="a3"/>
        <w:numPr>
          <w:ilvl w:val="1"/>
          <w:numId w:val="8"/>
        </w:numPr>
        <w:tabs>
          <w:tab w:val="left" w:pos="8083"/>
          <w:tab w:val="left" w:pos="8222"/>
        </w:tabs>
        <w:jc w:val="both"/>
        <w:rPr>
          <w:rFonts w:ascii="Times New Roman" w:hAnsi="Times New Roman" w:cs="David" w:hint="cs"/>
          <w:sz w:val="22"/>
          <w:szCs w:val="22"/>
        </w:rPr>
      </w:pPr>
      <w:r w:rsidRPr="00341C3E">
        <w:rPr>
          <w:rFonts w:cs="David"/>
          <w:sz w:val="22"/>
          <w:szCs w:val="22"/>
          <w:rtl/>
        </w:rPr>
        <w:t xml:space="preserve">עובד  </w:t>
      </w:r>
      <w:r w:rsidRPr="00341C3E">
        <w:rPr>
          <w:rFonts w:cs="David" w:hint="cs"/>
          <w:sz w:val="22"/>
          <w:szCs w:val="22"/>
          <w:rtl/>
        </w:rPr>
        <w:t>בעל רכב שירות הנעדר מהסיבות הנ"ל</w:t>
      </w:r>
      <w:r w:rsidRPr="00341C3E">
        <w:rPr>
          <w:rFonts w:cs="David"/>
          <w:sz w:val="22"/>
          <w:szCs w:val="22"/>
          <w:rtl/>
        </w:rPr>
        <w:t xml:space="preserve"> זכאי לתשלום מלא של השתתפות בהחזר הוצאות ביטוח ורישוי, אם הוא  נעדר  מעבודתו בתשלום </w:t>
      </w:r>
      <w:r w:rsidRPr="00341C3E">
        <w:rPr>
          <w:rFonts w:cs="David" w:hint="cs"/>
          <w:sz w:val="22"/>
          <w:szCs w:val="22"/>
          <w:rtl/>
        </w:rPr>
        <w:t xml:space="preserve">לתקופה של </w:t>
      </w:r>
      <w:r w:rsidRPr="00341C3E">
        <w:rPr>
          <w:rFonts w:cs="David"/>
          <w:sz w:val="22"/>
          <w:szCs w:val="22"/>
          <w:rtl/>
        </w:rPr>
        <w:t xml:space="preserve">עד 3 חודשים. אם העובד נעדר זמן ארוך יותר הוא  זכאי </w:t>
      </w:r>
      <w:r w:rsidRPr="00341C3E">
        <w:rPr>
          <w:rFonts w:cs="David" w:hint="cs"/>
          <w:sz w:val="22"/>
          <w:szCs w:val="22"/>
          <w:rtl/>
        </w:rPr>
        <w:t>ל-3 חודשים נוספים בשיעור</w:t>
      </w:r>
      <w:r w:rsidRPr="00341C3E">
        <w:rPr>
          <w:rFonts w:cs="David"/>
          <w:sz w:val="22"/>
          <w:szCs w:val="22"/>
          <w:rtl/>
        </w:rPr>
        <w:t xml:space="preserve"> </w:t>
      </w:r>
      <w:r w:rsidRPr="00341C3E">
        <w:rPr>
          <w:rFonts w:cs="David" w:hint="cs"/>
          <w:sz w:val="22"/>
          <w:szCs w:val="22"/>
          <w:rtl/>
        </w:rPr>
        <w:t>50%</w:t>
      </w:r>
      <w:r w:rsidRPr="00341C3E">
        <w:rPr>
          <w:rFonts w:cs="David"/>
          <w:sz w:val="22"/>
          <w:szCs w:val="22"/>
          <w:rtl/>
        </w:rPr>
        <w:t xml:space="preserve"> עבור כל חודש</w:t>
      </w:r>
      <w:r w:rsidRPr="00341C3E">
        <w:rPr>
          <w:rFonts w:cs="David" w:hint="cs"/>
          <w:sz w:val="22"/>
          <w:szCs w:val="22"/>
          <w:rtl/>
        </w:rPr>
        <w:t xml:space="preserve"> ובסה"כ </w:t>
      </w:r>
      <w:r w:rsidRPr="00341C3E">
        <w:rPr>
          <w:rFonts w:cs="David"/>
          <w:sz w:val="22"/>
          <w:szCs w:val="22"/>
          <w:rtl/>
        </w:rPr>
        <w:t xml:space="preserve"> 6 חודשים</w:t>
      </w:r>
      <w:r w:rsidRPr="00341C3E">
        <w:rPr>
          <w:rFonts w:cs="David" w:hint="cs"/>
          <w:sz w:val="22"/>
          <w:szCs w:val="22"/>
          <w:rtl/>
        </w:rPr>
        <w:t xml:space="preserve"> (דהיינו 3 חודשים לפי 100% + 3 חודשים לפי 50%).</w:t>
      </w:r>
      <w:r w:rsidRPr="00341C3E">
        <w:rPr>
          <w:rFonts w:cs="David"/>
          <w:sz w:val="22"/>
          <w:szCs w:val="22"/>
          <w:rtl/>
        </w:rPr>
        <w:t xml:space="preserve"> מעבר לכך לא</w:t>
      </w:r>
      <w:r w:rsidRPr="00341C3E">
        <w:rPr>
          <w:rFonts w:cs="David" w:hint="cs"/>
          <w:sz w:val="22"/>
          <w:szCs w:val="22"/>
          <w:rtl/>
        </w:rPr>
        <w:t xml:space="preserve"> יהיה </w:t>
      </w:r>
      <w:r w:rsidRPr="00341C3E">
        <w:rPr>
          <w:rFonts w:cs="David"/>
          <w:sz w:val="22"/>
          <w:szCs w:val="22"/>
          <w:rtl/>
        </w:rPr>
        <w:t>זכאי לתשלום</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 w:val="left" w:pos="8222"/>
        </w:tabs>
        <w:jc w:val="both"/>
        <w:rPr>
          <w:rFonts w:ascii="Times New Roman" w:hAnsi="Times New Roman" w:cs="David" w:hint="cs"/>
          <w:sz w:val="22"/>
          <w:szCs w:val="22"/>
          <w:rtl/>
        </w:rPr>
      </w:pPr>
    </w:p>
    <w:p w:rsidR="00ED5542" w:rsidRPr="00341C3E" w:rsidRDefault="00ED5542" w:rsidP="00ED5542">
      <w:pPr>
        <w:pStyle w:val="a3"/>
        <w:numPr>
          <w:ilvl w:val="0"/>
          <w:numId w:val="8"/>
        </w:numPr>
        <w:tabs>
          <w:tab w:val="left" w:pos="8083"/>
          <w:tab w:val="left" w:pos="8222"/>
        </w:tabs>
        <w:jc w:val="both"/>
        <w:rPr>
          <w:rFonts w:ascii="Times New Roman" w:hAnsi="Times New Roman" w:cs="David" w:hint="cs"/>
          <w:sz w:val="22"/>
          <w:szCs w:val="22"/>
        </w:rPr>
      </w:pPr>
      <w:r w:rsidRPr="00341C3E">
        <w:rPr>
          <w:rFonts w:ascii="Times New Roman" w:hAnsi="Times New Roman" w:cs="David"/>
          <w:b/>
          <w:bCs/>
          <w:sz w:val="22"/>
          <w:szCs w:val="22"/>
          <w:u w:val="single"/>
          <w:rtl/>
        </w:rPr>
        <w:t>תשלום הוצאות קבועות לעובד הנעדר מהעבודה מפאת מחלה קשה</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 w:val="left" w:pos="8222"/>
        </w:tabs>
        <w:jc w:val="both"/>
        <w:rPr>
          <w:rFonts w:ascii="Times New Roman" w:hAnsi="Times New Roman" w:cs="David" w:hint="cs"/>
          <w:sz w:val="22"/>
          <w:szCs w:val="22"/>
          <w:rtl/>
        </w:rPr>
      </w:pPr>
    </w:p>
    <w:p w:rsidR="00ED5542" w:rsidRPr="00341C3E" w:rsidRDefault="00ED5542" w:rsidP="00ED5542">
      <w:pPr>
        <w:pStyle w:val="a3"/>
        <w:numPr>
          <w:ilvl w:val="1"/>
          <w:numId w:val="8"/>
        </w:numPr>
        <w:tabs>
          <w:tab w:val="left" w:pos="8083"/>
          <w:tab w:val="left" w:pos="8222"/>
        </w:tabs>
        <w:jc w:val="both"/>
        <w:rPr>
          <w:rFonts w:ascii="Times New Roman" w:hAnsi="Times New Roman" w:cs="David" w:hint="cs"/>
          <w:sz w:val="22"/>
          <w:szCs w:val="22"/>
        </w:rPr>
      </w:pPr>
      <w:r w:rsidRPr="00341C3E">
        <w:rPr>
          <w:rFonts w:ascii="Times New Roman" w:hAnsi="Times New Roman" w:cs="David"/>
          <w:sz w:val="22"/>
          <w:szCs w:val="22"/>
          <w:rtl/>
        </w:rPr>
        <w:t xml:space="preserve">במקרה של היעדרות בשכר מעל שלושה חודשים, במצבים </w:t>
      </w:r>
      <w:r w:rsidRPr="00341C3E">
        <w:rPr>
          <w:rFonts w:ascii="Times New Roman" w:hAnsi="Times New Roman" w:cs="David" w:hint="cs"/>
          <w:sz w:val="22"/>
          <w:szCs w:val="22"/>
          <w:rtl/>
        </w:rPr>
        <w:t xml:space="preserve">של </w:t>
      </w:r>
      <w:r w:rsidRPr="00341C3E">
        <w:rPr>
          <w:rFonts w:ascii="Times New Roman" w:hAnsi="Times New Roman" w:cs="David"/>
          <w:sz w:val="22"/>
          <w:szCs w:val="22"/>
          <w:rtl/>
        </w:rPr>
        <w:t xml:space="preserve"> מחלה  קשה, יפנה</w:t>
      </w:r>
      <w:r w:rsidRPr="00341C3E">
        <w:rPr>
          <w:rFonts w:ascii="Times New Roman" w:hAnsi="Times New Roman" w:cs="David" w:hint="cs"/>
          <w:sz w:val="22"/>
          <w:szCs w:val="22"/>
          <w:rtl/>
        </w:rPr>
        <w:t xml:space="preserve"> חשב השכר לחשב המשרד וסמנכ"ל המשרד,</w:t>
      </w:r>
      <w:r w:rsidRPr="00341C3E">
        <w:rPr>
          <w:rFonts w:ascii="Times New Roman" w:hAnsi="Times New Roman" w:cs="David"/>
          <w:sz w:val="22"/>
          <w:szCs w:val="22"/>
          <w:rtl/>
        </w:rPr>
        <w:t xml:space="preserve"> </w:t>
      </w:r>
      <w:r w:rsidRPr="00341C3E">
        <w:rPr>
          <w:rFonts w:ascii="Times New Roman" w:hAnsi="Times New Roman" w:cs="David" w:hint="cs"/>
          <w:sz w:val="22"/>
          <w:szCs w:val="22"/>
          <w:rtl/>
        </w:rPr>
        <w:t xml:space="preserve">בבקשה לאשר השתתפות בהחזר הוצאות קבועות. חשב המשרד בתיאום עם הסמנכ"ל יהיו רשאים לאשר השתתפות בהחזר הוצאות קבועות </w:t>
      </w:r>
      <w:r w:rsidRPr="00341C3E">
        <w:rPr>
          <w:rFonts w:ascii="Times New Roman" w:hAnsi="Times New Roman" w:cs="David"/>
          <w:sz w:val="22"/>
          <w:szCs w:val="22"/>
          <w:rtl/>
        </w:rPr>
        <w:t xml:space="preserve"> לעובד כנ"ל בכפוף לכך ש</w:t>
      </w:r>
      <w:r w:rsidRPr="00341C3E">
        <w:rPr>
          <w:rFonts w:ascii="Times New Roman" w:hAnsi="Times New Roman" w:cs="David" w:hint="cs"/>
          <w:sz w:val="22"/>
          <w:szCs w:val="22"/>
          <w:rtl/>
        </w:rPr>
        <w:t>ההשתתפ</w:t>
      </w:r>
      <w:r w:rsidRPr="00341C3E">
        <w:rPr>
          <w:rFonts w:ascii="Times New Roman" w:hAnsi="Times New Roman" w:cs="David"/>
          <w:sz w:val="22"/>
          <w:szCs w:val="22"/>
          <w:rtl/>
        </w:rPr>
        <w:t xml:space="preserve">ות לא תעלה על </w:t>
      </w:r>
      <w:r w:rsidRPr="00341C3E">
        <w:rPr>
          <w:rFonts w:ascii="Times New Roman" w:hAnsi="Times New Roman" w:cs="David" w:hint="cs"/>
          <w:sz w:val="22"/>
          <w:szCs w:val="22"/>
          <w:rtl/>
        </w:rPr>
        <w:t xml:space="preserve">6 </w:t>
      </w:r>
      <w:r w:rsidRPr="00341C3E">
        <w:rPr>
          <w:rFonts w:ascii="Times New Roman" w:hAnsi="Times New Roman" w:cs="David"/>
          <w:sz w:val="22"/>
          <w:szCs w:val="22"/>
          <w:rtl/>
        </w:rPr>
        <w:t>חודשים</w:t>
      </w:r>
      <w:r w:rsidRPr="00341C3E">
        <w:rPr>
          <w:rFonts w:ascii="Times New Roman" w:hAnsi="Times New Roman" w:cs="David" w:hint="cs"/>
          <w:sz w:val="22"/>
          <w:szCs w:val="22"/>
          <w:rtl/>
        </w:rPr>
        <w:t>.</w:t>
      </w:r>
    </w:p>
    <w:p w:rsidR="00ED5542" w:rsidRPr="00341C3E" w:rsidRDefault="00ED5542" w:rsidP="00ED5542">
      <w:pPr>
        <w:pStyle w:val="a3"/>
        <w:tabs>
          <w:tab w:val="left" w:pos="8083"/>
          <w:tab w:val="left" w:pos="8222"/>
        </w:tabs>
        <w:jc w:val="both"/>
        <w:rPr>
          <w:rFonts w:ascii="Times New Roman" w:hAnsi="Times New Roman" w:cs="David" w:hint="cs"/>
          <w:sz w:val="22"/>
          <w:szCs w:val="22"/>
          <w:rtl/>
        </w:rPr>
      </w:pPr>
    </w:p>
    <w:p w:rsidR="00ED5542" w:rsidRPr="00341C3E" w:rsidRDefault="00ED5542" w:rsidP="00ED5542">
      <w:pPr>
        <w:pStyle w:val="a3"/>
        <w:tabs>
          <w:tab w:val="left" w:pos="8083"/>
          <w:tab w:val="left" w:pos="8222"/>
        </w:tabs>
        <w:jc w:val="both"/>
        <w:rPr>
          <w:rFonts w:ascii="Times New Roman" w:hAnsi="Times New Roman" w:cs="David" w:hint="cs"/>
          <w:sz w:val="22"/>
          <w:szCs w:val="22"/>
          <w:rtl/>
        </w:rPr>
      </w:pPr>
    </w:p>
    <w:p w:rsidR="00ED5542" w:rsidRPr="00341C3E" w:rsidRDefault="00ED5542" w:rsidP="00ED5542">
      <w:pPr>
        <w:pStyle w:val="a3"/>
        <w:numPr>
          <w:ilvl w:val="0"/>
          <w:numId w:val="8"/>
        </w:numPr>
        <w:tabs>
          <w:tab w:val="left" w:pos="8083"/>
          <w:tab w:val="left" w:pos="8222"/>
        </w:tabs>
        <w:jc w:val="both"/>
        <w:rPr>
          <w:rFonts w:ascii="Times New Roman" w:hAnsi="Times New Roman" w:cs="David" w:hint="cs"/>
          <w:b/>
          <w:bCs/>
          <w:sz w:val="22"/>
          <w:szCs w:val="22"/>
          <w:u w:val="single"/>
        </w:rPr>
      </w:pPr>
      <w:r w:rsidRPr="00341C3E">
        <w:rPr>
          <w:rFonts w:ascii="Times New Roman" w:hAnsi="Times New Roman" w:cs="David"/>
          <w:b/>
          <w:bCs/>
          <w:sz w:val="22"/>
          <w:szCs w:val="22"/>
          <w:u w:val="single"/>
          <w:rtl/>
        </w:rPr>
        <w:t>הוצאות קבועות לרכב בתקופה של חופשת לידה</w:t>
      </w:r>
      <w:r w:rsidRPr="00341C3E">
        <w:rPr>
          <w:rFonts w:ascii="Times New Roman" w:hAnsi="Times New Roman" w:cs="David" w:hint="cs"/>
          <w:b/>
          <w:bCs/>
          <w:sz w:val="22"/>
          <w:szCs w:val="22"/>
          <w:u w:val="single"/>
          <w:rtl/>
        </w:rPr>
        <w:t>,</w:t>
      </w:r>
      <w:r w:rsidRPr="00341C3E">
        <w:rPr>
          <w:rFonts w:ascii="Times New Roman" w:hAnsi="Times New Roman" w:cs="David"/>
          <w:b/>
          <w:bCs/>
          <w:sz w:val="22"/>
          <w:szCs w:val="22"/>
          <w:u w:val="single"/>
          <w:rtl/>
        </w:rPr>
        <w:t xml:space="preserve"> </w:t>
      </w:r>
      <w:r w:rsidRPr="00341C3E">
        <w:rPr>
          <w:rFonts w:ascii="Times New Roman" w:hAnsi="Times New Roman" w:cs="David" w:hint="cs"/>
          <w:b/>
          <w:bCs/>
          <w:sz w:val="22"/>
          <w:szCs w:val="22"/>
          <w:u w:val="single"/>
          <w:rtl/>
        </w:rPr>
        <w:t xml:space="preserve">שמירת הריון, </w:t>
      </w:r>
      <w:r w:rsidRPr="00341C3E">
        <w:rPr>
          <w:rFonts w:ascii="Times New Roman" w:hAnsi="Times New Roman" w:cs="David"/>
          <w:b/>
          <w:bCs/>
          <w:sz w:val="22"/>
          <w:szCs w:val="22"/>
          <w:u w:val="single"/>
          <w:rtl/>
        </w:rPr>
        <w:t>שירות מילואים</w:t>
      </w:r>
      <w:r w:rsidRPr="00341C3E">
        <w:rPr>
          <w:rFonts w:ascii="Times New Roman" w:hAnsi="Times New Roman" w:cs="David" w:hint="cs"/>
          <w:b/>
          <w:bCs/>
          <w:sz w:val="22"/>
          <w:szCs w:val="22"/>
          <w:u w:val="single"/>
          <w:rtl/>
        </w:rPr>
        <w:t xml:space="preserve"> או תאונת עבודה</w:t>
      </w:r>
    </w:p>
    <w:p w:rsidR="00ED5542" w:rsidRPr="00341C3E" w:rsidRDefault="00ED5542" w:rsidP="00ED5542">
      <w:pPr>
        <w:pStyle w:val="a3"/>
        <w:tabs>
          <w:tab w:val="left" w:pos="8083"/>
          <w:tab w:val="left" w:pos="8222"/>
        </w:tabs>
        <w:jc w:val="both"/>
        <w:rPr>
          <w:rFonts w:ascii="Times New Roman" w:hAnsi="Times New Roman" w:cs="David" w:hint="cs"/>
          <w:b/>
          <w:bCs/>
          <w:sz w:val="22"/>
          <w:szCs w:val="22"/>
          <w:u w:val="single"/>
          <w:rtl/>
        </w:rPr>
      </w:pPr>
    </w:p>
    <w:p w:rsidR="00ED5542" w:rsidRPr="00341C3E" w:rsidRDefault="00ED5542" w:rsidP="00ED5542">
      <w:pPr>
        <w:pStyle w:val="a3"/>
        <w:numPr>
          <w:ilvl w:val="1"/>
          <w:numId w:val="8"/>
        </w:numPr>
        <w:tabs>
          <w:tab w:val="left" w:pos="8083"/>
          <w:tab w:val="left" w:pos="8222"/>
        </w:tabs>
        <w:jc w:val="both"/>
        <w:rPr>
          <w:rFonts w:ascii="Times New Roman" w:hAnsi="Times New Roman" w:cs="David"/>
          <w:sz w:val="22"/>
          <w:szCs w:val="22"/>
        </w:rPr>
      </w:pPr>
      <w:r w:rsidRPr="00341C3E">
        <w:rPr>
          <w:rFonts w:ascii="Times New Roman" w:hAnsi="Times New Roman" w:cs="David"/>
          <w:sz w:val="22"/>
          <w:szCs w:val="22"/>
          <w:rtl/>
        </w:rPr>
        <w:t>הוצאות הרכב חייבות בדמי ביטוח לאומי</w:t>
      </w:r>
      <w:r w:rsidRPr="00341C3E">
        <w:rPr>
          <w:rFonts w:ascii="Times New Roman" w:hAnsi="Times New Roman" w:cs="David" w:hint="cs"/>
          <w:sz w:val="22"/>
          <w:szCs w:val="22"/>
          <w:rtl/>
        </w:rPr>
        <w:t xml:space="preserve"> וביטוח בריאות</w:t>
      </w:r>
      <w:r w:rsidRPr="00341C3E">
        <w:rPr>
          <w:rFonts w:ascii="Times New Roman" w:hAnsi="Times New Roman" w:cs="David"/>
          <w:sz w:val="22"/>
          <w:szCs w:val="22"/>
          <w:rtl/>
        </w:rPr>
        <w:t xml:space="preserve">.  </w:t>
      </w:r>
      <w:r w:rsidRPr="00341C3E">
        <w:rPr>
          <w:rFonts w:ascii="Times New Roman" w:hAnsi="Times New Roman" w:cs="David" w:hint="cs"/>
          <w:sz w:val="22"/>
          <w:szCs w:val="22"/>
          <w:rtl/>
        </w:rPr>
        <w:t xml:space="preserve">לפיכך, אין </w:t>
      </w:r>
      <w:r w:rsidRPr="00341C3E">
        <w:rPr>
          <w:rFonts w:ascii="Times New Roman" w:hAnsi="Times New Roman" w:cs="David"/>
          <w:sz w:val="22"/>
          <w:szCs w:val="22"/>
          <w:rtl/>
        </w:rPr>
        <w:t>זכאות להחזר הוצאות קבועות</w:t>
      </w:r>
      <w:r w:rsidRPr="00341C3E">
        <w:rPr>
          <w:rFonts w:ascii="Times New Roman" w:hAnsi="Times New Roman" w:cs="David" w:hint="cs"/>
          <w:sz w:val="22"/>
          <w:szCs w:val="22"/>
          <w:rtl/>
        </w:rPr>
        <w:t xml:space="preserve"> ומשתנות</w:t>
      </w:r>
      <w:r w:rsidRPr="00341C3E">
        <w:rPr>
          <w:rFonts w:ascii="Times New Roman" w:hAnsi="Times New Roman" w:cs="David"/>
          <w:sz w:val="22"/>
          <w:szCs w:val="22"/>
          <w:rtl/>
        </w:rPr>
        <w:t xml:space="preserve"> לרכב על-חשבון המשרדים בתקופות חופשת לידה</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w:t>
      </w:r>
      <w:r w:rsidRPr="00341C3E">
        <w:rPr>
          <w:rFonts w:ascii="Times New Roman" w:hAnsi="Times New Roman" w:cs="David" w:hint="cs"/>
          <w:sz w:val="22"/>
          <w:szCs w:val="22"/>
          <w:rtl/>
        </w:rPr>
        <w:t xml:space="preserve">שמירת הריון, </w:t>
      </w:r>
      <w:r w:rsidRPr="00341C3E">
        <w:rPr>
          <w:rFonts w:ascii="Times New Roman" w:hAnsi="Times New Roman" w:cs="David"/>
          <w:sz w:val="22"/>
          <w:szCs w:val="22"/>
          <w:rtl/>
        </w:rPr>
        <w:t>שירות מילואים</w:t>
      </w:r>
      <w:r w:rsidRPr="00341C3E">
        <w:rPr>
          <w:rFonts w:ascii="Times New Roman" w:hAnsi="Times New Roman" w:cs="David" w:hint="cs"/>
          <w:sz w:val="22"/>
          <w:szCs w:val="22"/>
          <w:rtl/>
        </w:rPr>
        <w:t xml:space="preserve"> או תאונת עבודה</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בעת עריכת חשבון סופי של הוצאות הרכב, יש לנטרל את </w:t>
      </w:r>
      <w:r w:rsidRPr="00341C3E">
        <w:rPr>
          <w:rFonts w:ascii="Times New Roman" w:hAnsi="Times New Roman" w:cs="David" w:hint="cs"/>
          <w:sz w:val="22"/>
          <w:szCs w:val="22"/>
          <w:rtl/>
        </w:rPr>
        <w:t>ה</w:t>
      </w:r>
      <w:r w:rsidRPr="00341C3E">
        <w:rPr>
          <w:rFonts w:ascii="Times New Roman" w:hAnsi="Times New Roman" w:cs="David"/>
          <w:sz w:val="22"/>
          <w:szCs w:val="22"/>
          <w:rtl/>
        </w:rPr>
        <w:t>תקופ</w:t>
      </w:r>
      <w:r w:rsidRPr="00341C3E">
        <w:rPr>
          <w:rFonts w:ascii="Times New Roman" w:hAnsi="Times New Roman" w:cs="David" w:hint="cs"/>
          <w:sz w:val="22"/>
          <w:szCs w:val="22"/>
          <w:rtl/>
        </w:rPr>
        <w:t>ו</w:t>
      </w:r>
      <w:r w:rsidRPr="00341C3E">
        <w:rPr>
          <w:rFonts w:ascii="Times New Roman" w:hAnsi="Times New Roman" w:cs="David"/>
          <w:sz w:val="22"/>
          <w:szCs w:val="22"/>
          <w:rtl/>
        </w:rPr>
        <w:t xml:space="preserve">ת </w:t>
      </w:r>
      <w:r w:rsidRPr="00341C3E">
        <w:rPr>
          <w:rFonts w:ascii="Times New Roman" w:hAnsi="Times New Roman" w:cs="David" w:hint="cs"/>
          <w:sz w:val="22"/>
          <w:szCs w:val="22"/>
          <w:rtl/>
        </w:rPr>
        <w:t xml:space="preserve">הנ"ל </w:t>
      </w:r>
      <w:r w:rsidRPr="00341C3E">
        <w:rPr>
          <w:rFonts w:ascii="Times New Roman" w:hAnsi="Times New Roman" w:cs="David"/>
          <w:sz w:val="22"/>
          <w:szCs w:val="22"/>
          <w:rtl/>
        </w:rPr>
        <w:t xml:space="preserve">ולערוך את החשבון הסופי יחסית לתקופת העבודה בפועל, באותה שנה.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0"/>
          <w:numId w:val="8"/>
        </w:numPr>
        <w:tabs>
          <w:tab w:val="left" w:pos="8083"/>
        </w:tabs>
        <w:jc w:val="both"/>
        <w:rPr>
          <w:rFonts w:ascii="Times New Roman" w:hAnsi="Times New Roman" w:cs="David" w:hint="cs"/>
          <w:sz w:val="22"/>
          <w:szCs w:val="22"/>
        </w:rPr>
      </w:pPr>
      <w:r w:rsidRPr="00341C3E">
        <w:rPr>
          <w:rFonts w:ascii="Times New Roman" w:hAnsi="Times New Roman" w:cs="David"/>
          <w:b/>
          <w:bCs/>
          <w:sz w:val="22"/>
          <w:szCs w:val="22"/>
          <w:u w:val="single"/>
          <w:rtl/>
        </w:rPr>
        <w:t>תשלום הוצאות קבועות לעובד שרכבו אינו כשיר</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עובד שרכבו אינו כשיר מסיבות שאינן תלויות בעובד - גניבה, שריפה או תאונה </w:t>
      </w:r>
      <w:r w:rsidRPr="00341C3E">
        <w:rPr>
          <w:rFonts w:ascii="Times New Roman" w:hAnsi="Times New Roman" w:cs="David" w:hint="cs"/>
          <w:sz w:val="22"/>
          <w:szCs w:val="22"/>
          <w:rtl/>
        </w:rPr>
        <w:t xml:space="preserve"> (אובדן מוחלט)</w:t>
      </w:r>
      <w:r w:rsidRPr="00341C3E">
        <w:rPr>
          <w:rFonts w:ascii="Times New Roman" w:hAnsi="Times New Roman" w:cs="David"/>
          <w:sz w:val="22"/>
          <w:szCs w:val="22"/>
          <w:rtl/>
        </w:rPr>
        <w:t xml:space="preserve"> והועמד לרשותו המלאה רכב חלופי - בין אם על-ידי חברת  הביטוח  ובין  אם  על-ידי אדם </w:t>
      </w:r>
      <w:r w:rsidRPr="00341C3E">
        <w:rPr>
          <w:rFonts w:ascii="Times New Roman" w:hAnsi="Times New Roman" w:cs="David" w:hint="cs"/>
          <w:sz w:val="22"/>
          <w:szCs w:val="22"/>
          <w:rtl/>
        </w:rPr>
        <w:t xml:space="preserve">או גוף שאיננו "קופה ציבורית" </w:t>
      </w:r>
      <w:r w:rsidRPr="00341C3E">
        <w:rPr>
          <w:rFonts w:ascii="Times New Roman" w:hAnsi="Times New Roman" w:cs="David"/>
          <w:sz w:val="22"/>
          <w:szCs w:val="22"/>
          <w:rtl/>
        </w:rPr>
        <w:t xml:space="preserve">- העובד יהא זכאי לתשלום הוצאות קבועות ומשתנות לתקופה של עד </w:t>
      </w:r>
      <w:r w:rsidRPr="00341C3E">
        <w:rPr>
          <w:rFonts w:ascii="Times New Roman" w:hAnsi="Times New Roman" w:cs="David" w:hint="cs"/>
          <w:sz w:val="22"/>
          <w:szCs w:val="22"/>
          <w:rtl/>
        </w:rPr>
        <w:t xml:space="preserve">3 </w:t>
      </w:r>
      <w:r w:rsidRPr="00341C3E">
        <w:rPr>
          <w:rFonts w:ascii="Times New Roman" w:hAnsi="Times New Roman" w:cs="David"/>
          <w:sz w:val="22"/>
          <w:szCs w:val="22"/>
          <w:rtl/>
        </w:rPr>
        <w:t xml:space="preserve">חודשים.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left" w:pos="8083"/>
        </w:tabs>
        <w:jc w:val="both"/>
        <w:rPr>
          <w:rFonts w:ascii="Times New Roman" w:hAnsi="Times New Roman" w:cs="David"/>
          <w:sz w:val="22"/>
          <w:szCs w:val="22"/>
        </w:rPr>
      </w:pPr>
      <w:r w:rsidRPr="00341C3E">
        <w:rPr>
          <w:rFonts w:ascii="Times New Roman" w:hAnsi="Times New Roman" w:cs="David"/>
          <w:sz w:val="22"/>
          <w:szCs w:val="22"/>
          <w:rtl/>
        </w:rPr>
        <w:t>עובד כנ"ל, יצהיר בכתב</w:t>
      </w:r>
      <w:r w:rsidRPr="00341C3E">
        <w:rPr>
          <w:rFonts w:ascii="Times New Roman" w:hAnsi="Times New Roman" w:cs="David" w:hint="cs"/>
          <w:sz w:val="22"/>
          <w:szCs w:val="22"/>
          <w:rtl/>
        </w:rPr>
        <w:t xml:space="preserve"> על</w:t>
      </w:r>
      <w:r w:rsidRPr="00341C3E">
        <w:rPr>
          <w:rFonts w:ascii="Times New Roman" w:hAnsi="Times New Roman" w:cs="David"/>
          <w:sz w:val="22"/>
          <w:szCs w:val="22"/>
          <w:rtl/>
        </w:rPr>
        <w:t xml:space="preserve"> פרטים </w:t>
      </w:r>
      <w:r w:rsidRPr="00341C3E">
        <w:rPr>
          <w:rFonts w:ascii="Times New Roman" w:hAnsi="Times New Roman" w:cs="David" w:hint="cs"/>
          <w:sz w:val="22"/>
          <w:szCs w:val="22"/>
          <w:rtl/>
        </w:rPr>
        <w:t>בגין</w:t>
      </w:r>
      <w:r w:rsidRPr="00341C3E">
        <w:rPr>
          <w:rFonts w:ascii="Times New Roman" w:hAnsi="Times New Roman" w:cs="David"/>
          <w:sz w:val="22"/>
          <w:szCs w:val="22"/>
          <w:rtl/>
        </w:rPr>
        <w:t xml:space="preserve"> הרכב החלופי</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לרבות התקופה שהרכב החלופי      הועמד לרשותו </w:t>
      </w:r>
      <w:r w:rsidRPr="00341C3E">
        <w:rPr>
          <w:rFonts w:ascii="Times New Roman" w:hAnsi="Times New Roman" w:cs="David" w:hint="cs"/>
          <w:sz w:val="22"/>
          <w:szCs w:val="22"/>
          <w:rtl/>
        </w:rPr>
        <w:t xml:space="preserve">וכן שאין בן/בת זוגו/זוגתו זכאים להחזר בגין רכב זה </w:t>
      </w:r>
      <w:r w:rsidRPr="00341C3E">
        <w:rPr>
          <w:rFonts w:ascii="Times New Roman" w:hAnsi="Times New Roman" w:cs="David"/>
          <w:sz w:val="22"/>
          <w:szCs w:val="22"/>
          <w:rtl/>
        </w:rPr>
        <w:t>- ויצרף צילום מר</w:t>
      </w:r>
      <w:r w:rsidRPr="00341C3E">
        <w:rPr>
          <w:rFonts w:ascii="Times New Roman" w:hAnsi="Times New Roman" w:cs="David" w:hint="cs"/>
          <w:sz w:val="22"/>
          <w:szCs w:val="22"/>
          <w:rtl/>
        </w:rPr>
        <w:t>יש</w:t>
      </w:r>
      <w:r w:rsidRPr="00341C3E">
        <w:rPr>
          <w:rFonts w:ascii="Times New Roman" w:hAnsi="Times New Roman" w:cs="David"/>
          <w:sz w:val="22"/>
          <w:szCs w:val="22"/>
          <w:rtl/>
        </w:rPr>
        <w:t xml:space="preserve">יון הרכב.                               </w:t>
      </w:r>
    </w:p>
    <w:p w:rsidR="00ED5542" w:rsidRPr="00341C3E" w:rsidRDefault="00ED5542" w:rsidP="00ED5542">
      <w:pPr>
        <w:pStyle w:val="a3"/>
        <w:tabs>
          <w:tab w:val="left" w:pos="8083"/>
        </w:tabs>
        <w:jc w:val="both"/>
        <w:rPr>
          <w:rFonts w:ascii="Times New Roman" w:hAnsi="Times New Roman" w:cs="David" w:hint="cs"/>
          <w:sz w:val="22"/>
          <w:szCs w:val="22"/>
          <w:rtl/>
        </w:rPr>
      </w:pPr>
      <w:r w:rsidRPr="00341C3E">
        <w:rPr>
          <w:rFonts w:ascii="Times New Roman" w:hAnsi="Times New Roman" w:cs="David"/>
          <w:sz w:val="22"/>
          <w:szCs w:val="22"/>
          <w:rtl/>
        </w:rPr>
        <w:br w:type="page"/>
      </w:r>
      <w:r w:rsidRPr="00341C3E">
        <w:rPr>
          <w:rFonts w:ascii="Times New Roman" w:hAnsi="Times New Roman" w:cs="David"/>
          <w:sz w:val="22"/>
          <w:szCs w:val="22"/>
          <w:rtl/>
        </w:rPr>
        <w:lastRenderedPageBreak/>
        <w:t xml:space="preserve">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0"/>
          <w:numId w:val="8"/>
        </w:numPr>
        <w:tabs>
          <w:tab w:val="left" w:pos="8083"/>
        </w:tabs>
        <w:jc w:val="both"/>
        <w:rPr>
          <w:rFonts w:ascii="Times New Roman" w:hAnsi="Times New Roman" w:cs="David" w:hint="cs"/>
          <w:sz w:val="22"/>
          <w:szCs w:val="22"/>
        </w:rPr>
      </w:pPr>
      <w:r w:rsidRPr="00341C3E">
        <w:rPr>
          <w:rFonts w:ascii="Times New Roman" w:hAnsi="Times New Roman" w:cs="David"/>
          <w:b/>
          <w:bCs/>
          <w:sz w:val="22"/>
          <w:szCs w:val="22"/>
          <w:u w:val="single"/>
          <w:rtl/>
        </w:rPr>
        <w:t>ההוצאות המשתנות</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left" w:pos="8083"/>
        </w:tabs>
        <w:jc w:val="both"/>
        <w:rPr>
          <w:rFonts w:ascii="Times New Roman" w:hAnsi="Times New Roman" w:cs="David" w:hint="cs"/>
          <w:sz w:val="22"/>
          <w:szCs w:val="22"/>
        </w:rPr>
      </w:pPr>
      <w:r w:rsidRPr="00341C3E">
        <w:rPr>
          <w:rFonts w:ascii="Times New Roman" w:hAnsi="Times New Roman" w:cs="David"/>
          <w:sz w:val="22"/>
          <w:szCs w:val="22"/>
          <w:rtl/>
        </w:rPr>
        <w:t xml:space="preserve">הוצאות המשתנות לפי הסכום נטו, ישולמו לבעלי רכב שירות ואישי בעד כל ק"מ  שנסע העובד בתפקיד, על-פי הדיווח החודשי (מדף 2430) של החודש שחלף. </w:t>
      </w:r>
    </w:p>
    <w:p w:rsidR="00ED5542" w:rsidRPr="00341C3E" w:rsidRDefault="00ED5542" w:rsidP="00ED5542">
      <w:pPr>
        <w:pStyle w:val="a3"/>
        <w:tabs>
          <w:tab w:val="left" w:pos="8083"/>
        </w:tabs>
        <w:ind w:left="397"/>
        <w:jc w:val="both"/>
        <w:rPr>
          <w:rFonts w:ascii="Times New Roman" w:hAnsi="Times New Roman" w:cs="David" w:hint="cs"/>
          <w:sz w:val="22"/>
          <w:szCs w:val="22"/>
        </w:rPr>
      </w:pPr>
    </w:p>
    <w:p w:rsidR="00ED5542" w:rsidRPr="00341C3E" w:rsidRDefault="00ED5542" w:rsidP="00ED5542">
      <w:pPr>
        <w:pStyle w:val="a3"/>
        <w:numPr>
          <w:ilvl w:val="1"/>
          <w:numId w:val="8"/>
        </w:numPr>
        <w:tabs>
          <w:tab w:val="left" w:pos="8083"/>
        </w:tabs>
        <w:jc w:val="both"/>
        <w:rPr>
          <w:rFonts w:ascii="Times New Roman" w:hAnsi="Times New Roman" w:cs="David"/>
          <w:sz w:val="22"/>
          <w:szCs w:val="22"/>
        </w:rPr>
      </w:pPr>
      <w:r w:rsidRPr="00341C3E">
        <w:rPr>
          <w:rFonts w:ascii="Times New Roman" w:hAnsi="Times New Roman" w:cs="David"/>
          <w:sz w:val="22"/>
          <w:szCs w:val="22"/>
          <w:rtl/>
        </w:rPr>
        <w:t>תשלום ההוצאות המשתנות בכל חודש  לא  יעלה  על  1/12  ממכסת  הקילומטרים השנתית שנקבעה בכל רמת ניידות, כמפורט בח</w:t>
      </w:r>
      <w:r w:rsidRPr="00341C3E">
        <w:rPr>
          <w:rFonts w:ascii="Times New Roman" w:hAnsi="Times New Roman" w:cs="David" w:hint="cs"/>
          <w:sz w:val="22"/>
          <w:szCs w:val="22"/>
          <w:rtl/>
        </w:rPr>
        <w:t>ו</w:t>
      </w:r>
      <w:r w:rsidRPr="00341C3E">
        <w:rPr>
          <w:rFonts w:ascii="Times New Roman" w:hAnsi="Times New Roman" w:cs="David"/>
          <w:sz w:val="22"/>
          <w:szCs w:val="22"/>
          <w:rtl/>
        </w:rPr>
        <w:t xml:space="preserve">זרנו זה. פעמיים בשנה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במשכורת</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חודש </w:t>
      </w:r>
      <w:r w:rsidRPr="00341C3E">
        <w:rPr>
          <w:rFonts w:ascii="Times New Roman" w:hAnsi="Times New Roman" w:cs="David" w:hint="cs"/>
          <w:sz w:val="22"/>
          <w:szCs w:val="22"/>
          <w:rtl/>
        </w:rPr>
        <w:t>אפריל</w:t>
      </w:r>
      <w:r w:rsidRPr="00341C3E">
        <w:rPr>
          <w:rFonts w:ascii="Times New Roman" w:hAnsi="Times New Roman" w:cs="David"/>
          <w:sz w:val="22"/>
          <w:szCs w:val="22"/>
          <w:rtl/>
        </w:rPr>
        <w:t xml:space="preserve"> ובמשכורת חודש </w:t>
      </w:r>
      <w:r w:rsidRPr="00341C3E">
        <w:rPr>
          <w:rFonts w:ascii="Times New Roman" w:hAnsi="Times New Roman" w:cs="David" w:hint="cs"/>
          <w:sz w:val="22"/>
          <w:szCs w:val="22"/>
          <w:rtl/>
        </w:rPr>
        <w:t>אוקטובר</w:t>
      </w:r>
      <w:r w:rsidRPr="00341C3E">
        <w:rPr>
          <w:rFonts w:ascii="Times New Roman" w:hAnsi="Times New Roman" w:cs="David"/>
          <w:sz w:val="22"/>
          <w:szCs w:val="22"/>
          <w:rtl/>
        </w:rPr>
        <w:t xml:space="preserve"> - יערכו החשבויות התאמת תשלום  ההוצאות המשתנות על-פי מספר הק"מ שבד</w:t>
      </w:r>
      <w:r w:rsidRPr="00341C3E">
        <w:rPr>
          <w:rFonts w:ascii="Times New Roman" w:hAnsi="Times New Roman" w:cs="David" w:hint="cs"/>
          <w:sz w:val="22"/>
          <w:szCs w:val="22"/>
          <w:rtl/>
        </w:rPr>
        <w:t>ו</w:t>
      </w:r>
      <w:r w:rsidRPr="00341C3E">
        <w:rPr>
          <w:rFonts w:ascii="Times New Roman" w:hAnsi="Times New Roman" w:cs="David"/>
          <w:sz w:val="22"/>
          <w:szCs w:val="22"/>
          <w:rtl/>
        </w:rPr>
        <w:t>חות שהוגשו במשך 6 החודשים  שחלפו,  ובמידת הצורך ישלימו את ההפרש עד למכסה היחסית המתייחסת לאותה  תקופה</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8"/>
        </w:numPr>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לגבי עובדים, ששכרם נערך באמצעות </w:t>
      </w:r>
      <w:r w:rsidRPr="00341C3E">
        <w:rPr>
          <w:rFonts w:ascii="Times New Roman" w:hAnsi="Times New Roman" w:cs="David" w:hint="cs"/>
          <w:sz w:val="22"/>
          <w:szCs w:val="22"/>
          <w:rtl/>
        </w:rPr>
        <w:t>המלם</w:t>
      </w:r>
      <w:r w:rsidRPr="00341C3E">
        <w:rPr>
          <w:rFonts w:ascii="Times New Roman" w:hAnsi="Times New Roman" w:cs="David"/>
          <w:sz w:val="22"/>
          <w:szCs w:val="22"/>
          <w:rtl/>
        </w:rPr>
        <w:t>, יהיה הדיווח לצורך תשלום ההוצאות המשתנות בסכומי נטו, לבעלי רכב  שירות  ואישי,  בסמל תוספת 1034 - הוצאות משתנות נטו</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s>
        <w:jc w:val="both"/>
        <w:rPr>
          <w:rFonts w:ascii="Times New Roman" w:hAnsi="Times New Roman" w:cs="David"/>
          <w:sz w:val="22"/>
          <w:szCs w:val="22"/>
          <w:rtl/>
        </w:rPr>
      </w:pPr>
    </w:p>
    <w:p w:rsidR="00ED5542" w:rsidRPr="00341C3E" w:rsidRDefault="00ED5542" w:rsidP="00ED5542">
      <w:pPr>
        <w:pStyle w:val="a3"/>
        <w:numPr>
          <w:ilvl w:val="1"/>
          <w:numId w:val="8"/>
        </w:numPr>
        <w:tabs>
          <w:tab w:val="left" w:pos="8083"/>
        </w:tabs>
        <w:jc w:val="both"/>
        <w:rPr>
          <w:rFonts w:ascii="Times New Roman" w:hAnsi="Times New Roman" w:cs="David" w:hint="cs"/>
          <w:sz w:val="22"/>
          <w:szCs w:val="22"/>
        </w:rPr>
      </w:pPr>
      <w:r w:rsidRPr="00341C3E">
        <w:rPr>
          <w:rFonts w:ascii="Times New Roman" w:hAnsi="Times New Roman" w:cs="David"/>
          <w:sz w:val="22"/>
          <w:szCs w:val="22"/>
          <w:rtl/>
        </w:rPr>
        <w:t xml:space="preserve">אישר </w:t>
      </w:r>
      <w:r w:rsidRPr="00341C3E">
        <w:rPr>
          <w:rFonts w:ascii="Times New Roman" w:hAnsi="Times New Roman" w:cs="David" w:hint="cs"/>
          <w:sz w:val="22"/>
          <w:szCs w:val="22"/>
          <w:rtl/>
        </w:rPr>
        <w:t>מנכ"ל</w:t>
      </w:r>
      <w:r w:rsidRPr="00341C3E">
        <w:rPr>
          <w:rFonts w:ascii="Times New Roman" w:hAnsi="Times New Roman" w:cs="David"/>
          <w:sz w:val="22"/>
          <w:szCs w:val="22"/>
          <w:rtl/>
        </w:rPr>
        <w:t xml:space="preserve"> המשרד לעובד מכסת ק"מ נוספת,  מתוך  המכסה  העומדת לרשות המשרד באיגום מיוחד, לביצוע משימה חולפת</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ישולמו לאותו עובד  בתקופה לה ניתן האישור, הוצאות משתנות על-פי מספר הק"מ עליהם ידווח,  אך  במסגרת  1/12 מהמכסה השנתית  המאושרת  בדרגת  ניידותו  (ראה  סעיף  1</w:t>
      </w:r>
      <w:r w:rsidRPr="00341C3E">
        <w:rPr>
          <w:rFonts w:ascii="Times New Roman" w:hAnsi="Times New Roman" w:cs="David" w:hint="cs"/>
          <w:sz w:val="22"/>
          <w:szCs w:val="22"/>
          <w:rtl/>
        </w:rPr>
        <w:t>1</w:t>
      </w:r>
      <w:r w:rsidRPr="00341C3E">
        <w:rPr>
          <w:rFonts w:ascii="Times New Roman" w:hAnsi="Times New Roman" w:cs="David"/>
          <w:sz w:val="22"/>
          <w:szCs w:val="22"/>
          <w:rtl/>
        </w:rPr>
        <w:t>.</w:t>
      </w:r>
      <w:r w:rsidRPr="00341C3E">
        <w:rPr>
          <w:rFonts w:ascii="Times New Roman" w:hAnsi="Times New Roman" w:cs="David" w:hint="cs"/>
          <w:sz w:val="22"/>
          <w:szCs w:val="22"/>
          <w:rtl/>
        </w:rPr>
        <w:t>2</w:t>
      </w:r>
      <w:r w:rsidRPr="00341C3E">
        <w:rPr>
          <w:rFonts w:ascii="Times New Roman" w:hAnsi="Times New Roman" w:cs="David"/>
          <w:sz w:val="22"/>
          <w:szCs w:val="22"/>
          <w:rtl/>
        </w:rPr>
        <w:t xml:space="preserve">  לעיל), ובתוספת המכסה שאושרה ע</w:t>
      </w:r>
      <w:r w:rsidRPr="00341C3E">
        <w:rPr>
          <w:rFonts w:ascii="Times New Roman" w:hAnsi="Times New Roman" w:cs="David" w:hint="cs"/>
          <w:sz w:val="22"/>
          <w:szCs w:val="22"/>
          <w:rtl/>
        </w:rPr>
        <w:t>ל-ידי</w:t>
      </w:r>
      <w:r w:rsidRPr="00341C3E">
        <w:rPr>
          <w:rFonts w:ascii="Times New Roman" w:hAnsi="Times New Roman" w:cs="David"/>
          <w:sz w:val="22"/>
          <w:szCs w:val="22"/>
          <w:rtl/>
        </w:rPr>
        <w:t xml:space="preserve"> </w:t>
      </w:r>
      <w:r w:rsidRPr="00341C3E">
        <w:rPr>
          <w:rFonts w:ascii="Times New Roman" w:hAnsi="Times New Roman" w:cs="David" w:hint="cs"/>
          <w:sz w:val="22"/>
          <w:szCs w:val="22"/>
          <w:rtl/>
        </w:rPr>
        <w:t>ה</w:t>
      </w:r>
      <w:r w:rsidRPr="00341C3E">
        <w:rPr>
          <w:rFonts w:ascii="Times New Roman" w:hAnsi="Times New Roman" w:cs="David"/>
          <w:sz w:val="22"/>
          <w:szCs w:val="22"/>
          <w:rtl/>
        </w:rPr>
        <w:t>מנכ"ל לאותה התקופה</w:t>
      </w:r>
      <w:r w:rsidRPr="00341C3E">
        <w:rPr>
          <w:rFonts w:ascii="Times New Roman" w:hAnsi="Times New Roman" w:cs="David" w:hint="cs"/>
          <w:sz w:val="22"/>
          <w:szCs w:val="22"/>
          <w:rtl/>
        </w:rPr>
        <w:t xml:space="preserve"> שלא תעלה על 2,000 ק"מ בשנה.</w:t>
      </w: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numPr>
          <w:ilvl w:val="1"/>
          <w:numId w:val="8"/>
        </w:numPr>
        <w:tabs>
          <w:tab w:val="left" w:pos="8083"/>
        </w:tabs>
        <w:jc w:val="both"/>
        <w:rPr>
          <w:rFonts w:ascii="Times New Roman" w:hAnsi="Times New Roman" w:cs="David" w:hint="cs"/>
          <w:sz w:val="22"/>
          <w:szCs w:val="22"/>
        </w:rPr>
      </w:pPr>
      <w:r w:rsidRPr="00341C3E">
        <w:rPr>
          <w:rFonts w:ascii="Times New Roman" w:hAnsi="Times New Roman" w:cs="David" w:hint="cs"/>
          <w:sz w:val="22"/>
          <w:szCs w:val="22"/>
          <w:rtl/>
        </w:rPr>
        <w:t>במקרים חריגים, לעובדים הנדרשים לנסיעות מרובות במסגרת תפקידם כגון: מפקחים, מדרכים חקלאים וכו', ניתן לאשר תוספת מכסת "מאגר" שלא תעלה בסה"כ על 5,000 ק"מ בשנה, על-פי אישור מנכ"ל המשרד ולאחר שהובאה בפניו המלצת הסמנכ"ל והחשב ובתנאי שעובדים אלו אינם מקבלים החזר הוצאות על-פי נסיעה תעריפי תחבורה ציבורית עבור נסיעות בתפקיד כמפורט בסעיף 12 לחוזר זה.</w:t>
      </w: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tabs>
          <w:tab w:val="left" w:pos="8083"/>
        </w:tabs>
        <w:ind w:left="425"/>
        <w:jc w:val="both"/>
        <w:rPr>
          <w:rFonts w:ascii="Times New Roman" w:hAnsi="Times New Roman" w:cs="David"/>
          <w:sz w:val="22"/>
          <w:szCs w:val="22"/>
        </w:rPr>
      </w:pPr>
      <w:r w:rsidRPr="00341C3E">
        <w:rPr>
          <w:rFonts w:ascii="Times New Roman" w:hAnsi="Times New Roman" w:cs="David" w:hint="cs"/>
          <w:sz w:val="22"/>
          <w:szCs w:val="22"/>
          <w:rtl/>
        </w:rPr>
        <w:t>11.6.</w:t>
      </w:r>
      <w:r w:rsidRPr="00341C3E">
        <w:rPr>
          <w:rFonts w:ascii="Times New Roman" w:hAnsi="Times New Roman" w:cs="David"/>
          <w:sz w:val="22"/>
          <w:szCs w:val="22"/>
          <w:rtl/>
        </w:rPr>
        <w:t xml:space="preserve">    להלן מכסת הקילומטרים השנתית על-פי רמות ניידות לבעלי רכב ש</w:t>
      </w:r>
      <w:r w:rsidRPr="00341C3E">
        <w:rPr>
          <w:rFonts w:ascii="Times New Roman" w:hAnsi="Times New Roman" w:cs="David" w:hint="cs"/>
          <w:sz w:val="22"/>
          <w:szCs w:val="22"/>
          <w:rtl/>
        </w:rPr>
        <w:t>י</w:t>
      </w:r>
      <w:r w:rsidRPr="00341C3E">
        <w:rPr>
          <w:rFonts w:ascii="Times New Roman" w:hAnsi="Times New Roman" w:cs="David"/>
          <w:sz w:val="22"/>
          <w:szCs w:val="22"/>
          <w:rtl/>
        </w:rPr>
        <w:t xml:space="preserve">רות:        </w:t>
      </w:r>
    </w:p>
    <w:p w:rsidR="00ED5542" w:rsidRPr="00341C3E" w:rsidRDefault="00ED5542" w:rsidP="00ED5542">
      <w:pPr>
        <w:pStyle w:val="a3"/>
        <w:tabs>
          <w:tab w:val="left" w:pos="8083"/>
        </w:tabs>
        <w:jc w:val="both"/>
        <w:rPr>
          <w:rFonts w:ascii="Times New Roman" w:hAnsi="Times New Roman" w:cs="David" w:hint="cs"/>
          <w:sz w:val="22"/>
          <w:szCs w:val="22"/>
          <w:rtl/>
        </w:rPr>
      </w:pPr>
    </w:p>
    <w:tbl>
      <w:tblPr>
        <w:tblStyle w:val="aa"/>
        <w:bidiVisual/>
        <w:tblW w:w="0" w:type="auto"/>
        <w:tblLook w:val="01E0"/>
      </w:tblPr>
      <w:tblGrid>
        <w:gridCol w:w="2820"/>
        <w:gridCol w:w="2843"/>
        <w:gridCol w:w="2859"/>
      </w:tblGrid>
      <w:tr w:rsidR="00ED5542" w:rsidRPr="00341C3E">
        <w:tc>
          <w:tcPr>
            <w:tcW w:w="3192"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רמת ניידות</w:t>
            </w:r>
          </w:p>
        </w:tc>
        <w:tc>
          <w:tcPr>
            <w:tcW w:w="3193"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מכסת הק"מ השנתית -100%</w:t>
            </w:r>
          </w:p>
        </w:tc>
        <w:tc>
          <w:tcPr>
            <w:tcW w:w="3193"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 xml:space="preserve">חובת דיווח בסיסית שנתית </w:t>
            </w:r>
          </w:p>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"מכסת מינימום" - 60%</w:t>
            </w:r>
          </w:p>
        </w:tc>
      </w:tr>
      <w:tr w:rsidR="00ED5542" w:rsidRPr="00341C3E">
        <w:tc>
          <w:tcPr>
            <w:tcW w:w="3192"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א</w:t>
            </w:r>
          </w:p>
        </w:tc>
        <w:tc>
          <w:tcPr>
            <w:tcW w:w="3193"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4,500</w:t>
            </w:r>
          </w:p>
        </w:tc>
        <w:tc>
          <w:tcPr>
            <w:tcW w:w="3193"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2,700</w:t>
            </w:r>
          </w:p>
        </w:tc>
      </w:tr>
      <w:tr w:rsidR="00ED5542" w:rsidRPr="00341C3E">
        <w:tc>
          <w:tcPr>
            <w:tcW w:w="3192"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ב</w:t>
            </w:r>
          </w:p>
        </w:tc>
        <w:tc>
          <w:tcPr>
            <w:tcW w:w="3193"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6,000</w:t>
            </w:r>
          </w:p>
        </w:tc>
        <w:tc>
          <w:tcPr>
            <w:tcW w:w="3193"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3,600</w:t>
            </w:r>
          </w:p>
        </w:tc>
      </w:tr>
      <w:tr w:rsidR="00ED5542" w:rsidRPr="00341C3E">
        <w:tc>
          <w:tcPr>
            <w:tcW w:w="3192"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ג</w:t>
            </w:r>
          </w:p>
        </w:tc>
        <w:tc>
          <w:tcPr>
            <w:tcW w:w="3193"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8,000</w:t>
            </w:r>
          </w:p>
        </w:tc>
        <w:tc>
          <w:tcPr>
            <w:tcW w:w="3193"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4,800</w:t>
            </w:r>
          </w:p>
        </w:tc>
      </w:tr>
      <w:tr w:rsidR="00ED5542" w:rsidRPr="00341C3E">
        <w:tc>
          <w:tcPr>
            <w:tcW w:w="3192"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ד</w:t>
            </w:r>
          </w:p>
        </w:tc>
        <w:tc>
          <w:tcPr>
            <w:tcW w:w="3193"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10,000</w:t>
            </w:r>
          </w:p>
        </w:tc>
        <w:tc>
          <w:tcPr>
            <w:tcW w:w="3193"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6,000</w:t>
            </w:r>
          </w:p>
        </w:tc>
      </w:tr>
    </w:tbl>
    <w:p w:rsidR="00ED5542" w:rsidRPr="00341C3E" w:rsidRDefault="00ED5542" w:rsidP="00ED5542">
      <w:pPr>
        <w:pStyle w:val="a3"/>
        <w:tabs>
          <w:tab w:val="left" w:pos="8083"/>
        </w:tabs>
        <w:jc w:val="both"/>
        <w:rPr>
          <w:rFonts w:ascii="Times New Roman" w:hAnsi="Times New Roman" w:cs="David"/>
          <w:sz w:val="22"/>
          <w:szCs w:val="22"/>
          <w:rtl/>
        </w:rPr>
      </w:pPr>
      <w:r w:rsidRPr="00341C3E">
        <w:rPr>
          <w:rFonts w:ascii="Times New Roman" w:hAnsi="Times New Roman" w:cs="David"/>
          <w:sz w:val="22"/>
          <w:szCs w:val="22"/>
          <w:rtl/>
        </w:rPr>
        <w:t xml:space="preserve">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br w:type="page"/>
      </w:r>
      <w:r w:rsidRPr="00341C3E">
        <w:rPr>
          <w:rFonts w:ascii="Times New Roman" w:hAnsi="Times New Roman" w:cs="David"/>
          <w:sz w:val="22"/>
          <w:szCs w:val="22"/>
          <w:rtl/>
        </w:rPr>
        <w:lastRenderedPageBreak/>
        <w:t xml:space="preserve">                                                                                                        </w:t>
      </w:r>
    </w:p>
    <w:p w:rsidR="00ED5542" w:rsidRPr="00341C3E" w:rsidRDefault="00ED5542" w:rsidP="00ED5542">
      <w:pPr>
        <w:pStyle w:val="a3"/>
        <w:tabs>
          <w:tab w:val="left" w:pos="8083"/>
        </w:tabs>
        <w:ind w:left="397"/>
        <w:jc w:val="both"/>
        <w:rPr>
          <w:rFonts w:ascii="Times New Roman" w:hAnsi="Times New Roman" w:cs="David"/>
          <w:sz w:val="22"/>
          <w:szCs w:val="22"/>
        </w:rPr>
      </w:pPr>
      <w:r w:rsidRPr="00341C3E">
        <w:rPr>
          <w:rFonts w:ascii="Times New Roman" w:hAnsi="Times New Roman" w:cs="David" w:hint="cs"/>
          <w:sz w:val="22"/>
          <w:szCs w:val="22"/>
          <w:rtl/>
        </w:rPr>
        <w:t xml:space="preserve">11.7 </w:t>
      </w:r>
      <w:r w:rsidRPr="00341C3E">
        <w:rPr>
          <w:rFonts w:ascii="Times New Roman" w:hAnsi="Times New Roman" w:cs="David"/>
          <w:sz w:val="22"/>
          <w:szCs w:val="22"/>
          <w:rtl/>
        </w:rPr>
        <w:t xml:space="preserve">להלן מכסת הקילומטרים השנתית על-פי רמות ניידות לבעלי רכב אישי:        </w:t>
      </w:r>
    </w:p>
    <w:p w:rsidR="00ED5542" w:rsidRPr="00341C3E" w:rsidRDefault="00ED5542" w:rsidP="00ED5542">
      <w:pPr>
        <w:pStyle w:val="a3"/>
        <w:tabs>
          <w:tab w:val="left" w:pos="8083"/>
        </w:tabs>
        <w:jc w:val="both"/>
        <w:rPr>
          <w:rFonts w:ascii="Times New Roman" w:hAnsi="Times New Roman" w:cs="David"/>
          <w:sz w:val="22"/>
          <w:szCs w:val="22"/>
          <w:rtl/>
        </w:rPr>
      </w:pPr>
      <w:r w:rsidRPr="00341C3E">
        <w:rPr>
          <w:rFonts w:ascii="Times New Roman" w:hAnsi="Times New Roman" w:cs="David"/>
          <w:sz w:val="22"/>
          <w:szCs w:val="22"/>
          <w:rtl/>
        </w:rPr>
        <w:t xml:space="preserve">     </w:t>
      </w:r>
    </w:p>
    <w:tbl>
      <w:tblPr>
        <w:tblStyle w:val="aa"/>
        <w:bidiVisual/>
        <w:tblW w:w="0" w:type="auto"/>
        <w:tblLook w:val="01E0"/>
      </w:tblPr>
      <w:tblGrid>
        <w:gridCol w:w="4251"/>
        <w:gridCol w:w="4271"/>
      </w:tblGrid>
      <w:tr w:rsidR="00ED5542" w:rsidRPr="00341C3E">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רמת ניידות</w:t>
            </w:r>
          </w:p>
        </w:tc>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מכסת הק"מ השנתית</w:t>
            </w:r>
          </w:p>
        </w:tc>
      </w:tr>
      <w:tr w:rsidR="00ED5542" w:rsidRPr="00341C3E">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1</w:t>
            </w:r>
          </w:p>
        </w:tc>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1,000</w:t>
            </w:r>
          </w:p>
        </w:tc>
      </w:tr>
      <w:tr w:rsidR="00ED5542" w:rsidRPr="00341C3E">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2</w:t>
            </w:r>
          </w:p>
        </w:tc>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1,500</w:t>
            </w:r>
          </w:p>
        </w:tc>
      </w:tr>
      <w:tr w:rsidR="00ED5542" w:rsidRPr="00341C3E">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3</w:t>
            </w:r>
          </w:p>
        </w:tc>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2,000</w:t>
            </w:r>
          </w:p>
        </w:tc>
      </w:tr>
      <w:tr w:rsidR="00ED5542" w:rsidRPr="00341C3E">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4</w:t>
            </w:r>
          </w:p>
        </w:tc>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2,500</w:t>
            </w:r>
          </w:p>
        </w:tc>
      </w:tr>
      <w:tr w:rsidR="00ED5542" w:rsidRPr="00341C3E">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5</w:t>
            </w:r>
          </w:p>
        </w:tc>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3,000</w:t>
            </w:r>
          </w:p>
        </w:tc>
      </w:tr>
    </w:tbl>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tabs>
          <w:tab w:val="left" w:pos="8083"/>
        </w:tabs>
        <w:ind w:left="425"/>
        <w:jc w:val="both"/>
        <w:rPr>
          <w:rFonts w:ascii="Times New Roman" w:hAnsi="Times New Roman" w:cs="David" w:hint="cs"/>
          <w:sz w:val="22"/>
          <w:szCs w:val="22"/>
          <w:rtl/>
        </w:rPr>
      </w:pPr>
      <w:r w:rsidRPr="00341C3E">
        <w:rPr>
          <w:rFonts w:ascii="Times New Roman" w:hAnsi="Times New Roman" w:cs="David"/>
          <w:sz w:val="22"/>
          <w:szCs w:val="22"/>
          <w:rtl/>
        </w:rPr>
        <w:t xml:space="preserve">מכסת הק"מ השנתית לבעלי רכב אישי </w:t>
      </w:r>
      <w:r w:rsidRPr="00341C3E">
        <w:rPr>
          <w:rFonts w:ascii="Times New Roman" w:hAnsi="Times New Roman" w:cs="David" w:hint="cs"/>
          <w:sz w:val="22"/>
          <w:szCs w:val="22"/>
          <w:rtl/>
        </w:rPr>
        <w:t>מהווה</w:t>
      </w:r>
      <w:r w:rsidRPr="00341C3E">
        <w:rPr>
          <w:rFonts w:ascii="Times New Roman" w:hAnsi="Times New Roman" w:cs="David"/>
          <w:sz w:val="22"/>
          <w:szCs w:val="22"/>
          <w:rtl/>
        </w:rPr>
        <w:t xml:space="preserve"> גם</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חובת דיווח בסיסית שנתית.</w:t>
      </w:r>
    </w:p>
    <w:p w:rsidR="00ED5542" w:rsidRPr="00341C3E" w:rsidRDefault="00ED5542" w:rsidP="00ED5542">
      <w:pPr>
        <w:pStyle w:val="a3"/>
        <w:tabs>
          <w:tab w:val="left" w:pos="8083"/>
        </w:tabs>
        <w:ind w:left="425"/>
        <w:jc w:val="both"/>
        <w:rPr>
          <w:rFonts w:ascii="Times New Roman" w:hAnsi="Times New Roman" w:cs="David" w:hint="cs"/>
          <w:sz w:val="22"/>
          <w:szCs w:val="22"/>
          <w:rtl/>
        </w:rPr>
      </w:pPr>
    </w:p>
    <w:p w:rsidR="00ED5542" w:rsidRPr="00341C3E" w:rsidRDefault="00ED5542" w:rsidP="00ED5542">
      <w:pPr>
        <w:pStyle w:val="a3"/>
        <w:tabs>
          <w:tab w:val="left" w:pos="8083"/>
        </w:tabs>
        <w:ind w:left="425"/>
        <w:jc w:val="both"/>
        <w:rPr>
          <w:rFonts w:ascii="Times New Roman" w:hAnsi="Times New Roman" w:cs="David"/>
          <w:sz w:val="22"/>
          <w:szCs w:val="22"/>
        </w:rPr>
      </w:pPr>
      <w:r w:rsidRPr="00341C3E">
        <w:rPr>
          <w:rFonts w:ascii="Times New Roman" w:hAnsi="Times New Roman" w:cs="David"/>
          <w:sz w:val="22"/>
          <w:szCs w:val="22"/>
          <w:rtl/>
        </w:rPr>
        <w:t xml:space="preserve"> דיווח הק"מ יצויין מידי חודש בטופס האש"ל</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w:t>
      </w:r>
    </w:p>
    <w:p w:rsidR="00ED5542" w:rsidRPr="00341C3E" w:rsidRDefault="00ED5542" w:rsidP="00ED5542">
      <w:pPr>
        <w:pStyle w:val="a3"/>
        <w:tabs>
          <w:tab w:val="num" w:pos="1020"/>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tabs>
          <w:tab w:val="left" w:pos="851"/>
          <w:tab w:val="num" w:pos="1020"/>
          <w:tab w:val="left" w:pos="8083"/>
        </w:tabs>
        <w:ind w:left="998" w:hanging="998"/>
        <w:jc w:val="both"/>
        <w:rPr>
          <w:rFonts w:ascii="Times New Roman" w:hAnsi="Times New Roman" w:cs="David" w:hint="cs"/>
          <w:sz w:val="22"/>
          <w:szCs w:val="22"/>
          <w:rtl/>
        </w:rPr>
      </w:pPr>
      <w:r w:rsidRPr="00341C3E">
        <w:rPr>
          <w:rFonts w:ascii="Times New Roman" w:hAnsi="Times New Roman" w:cs="David"/>
          <w:sz w:val="22"/>
          <w:szCs w:val="22"/>
          <w:rtl/>
        </w:rPr>
        <w:t xml:space="preserve">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מכסות הקילומטרים לתשלום ההוצאות המשתנות לא יעלו על 1/12 לחודש מהמכסה השנתית </w:t>
      </w:r>
    </w:p>
    <w:p w:rsidR="00ED5542" w:rsidRPr="00341C3E" w:rsidRDefault="00ED5542" w:rsidP="00ED5542">
      <w:pPr>
        <w:pStyle w:val="a3"/>
        <w:tabs>
          <w:tab w:val="num" w:pos="1020"/>
          <w:tab w:val="left" w:pos="8083"/>
        </w:tabs>
        <w:ind w:left="998" w:hanging="998"/>
        <w:jc w:val="both"/>
        <w:rPr>
          <w:rFonts w:ascii="Times New Roman" w:hAnsi="Times New Roman" w:cs="David" w:hint="cs"/>
          <w:sz w:val="22"/>
          <w:szCs w:val="22"/>
          <w:rtl/>
        </w:rPr>
      </w:pPr>
      <w:r w:rsidRPr="00341C3E">
        <w:rPr>
          <w:rFonts w:ascii="Times New Roman" w:hAnsi="Times New Roman" w:cs="David" w:hint="cs"/>
          <w:sz w:val="22"/>
          <w:szCs w:val="22"/>
          <w:rtl/>
        </w:rPr>
        <w:t xml:space="preserve">         המאושרת.</w:t>
      </w:r>
    </w:p>
    <w:p w:rsidR="00ED5542" w:rsidRPr="00341C3E" w:rsidRDefault="00ED5542" w:rsidP="00ED5542">
      <w:pPr>
        <w:pStyle w:val="a3"/>
        <w:tabs>
          <w:tab w:val="num" w:pos="1020"/>
          <w:tab w:val="left" w:pos="8083"/>
        </w:tabs>
        <w:ind w:left="998" w:hanging="998"/>
        <w:jc w:val="both"/>
        <w:rPr>
          <w:rFonts w:ascii="Times New Roman" w:hAnsi="Times New Roman" w:cs="David" w:hint="cs"/>
          <w:sz w:val="22"/>
          <w:szCs w:val="22"/>
          <w:rtl/>
        </w:rPr>
      </w:pPr>
    </w:p>
    <w:p w:rsidR="00ED5542" w:rsidRPr="00341C3E" w:rsidRDefault="00ED5542" w:rsidP="00ED5542">
      <w:pPr>
        <w:pStyle w:val="a3"/>
        <w:tabs>
          <w:tab w:val="left" w:pos="567"/>
          <w:tab w:val="left" w:pos="8083"/>
        </w:tabs>
        <w:ind w:left="425" w:hanging="425"/>
        <w:jc w:val="both"/>
        <w:rPr>
          <w:rFonts w:ascii="Times New Roman" w:hAnsi="Times New Roman" w:cs="David" w:hint="cs"/>
          <w:b/>
          <w:bCs/>
          <w:sz w:val="22"/>
          <w:szCs w:val="22"/>
          <w:u w:val="single"/>
          <w:rtl/>
        </w:rPr>
      </w:pPr>
      <w:r w:rsidRPr="00341C3E">
        <w:rPr>
          <w:rFonts w:ascii="Times New Roman" w:hAnsi="Times New Roman" w:cs="David"/>
          <w:sz w:val="22"/>
          <w:szCs w:val="22"/>
          <w:rtl/>
        </w:rPr>
        <w:t xml:space="preserve">        </w:t>
      </w:r>
      <w:r w:rsidRPr="00341C3E">
        <w:rPr>
          <w:rFonts w:ascii="Times New Roman" w:hAnsi="Times New Roman" w:cs="David" w:hint="cs"/>
          <w:b/>
          <w:bCs/>
          <w:sz w:val="22"/>
          <w:szCs w:val="22"/>
          <w:u w:val="single"/>
          <w:rtl/>
        </w:rPr>
        <w:t>דרכים קשות</w:t>
      </w:r>
    </w:p>
    <w:p w:rsidR="00ED5542" w:rsidRPr="00341C3E" w:rsidRDefault="00ED5542" w:rsidP="00ED5542">
      <w:pPr>
        <w:pStyle w:val="a3"/>
        <w:tabs>
          <w:tab w:val="left" w:pos="567"/>
          <w:tab w:val="left" w:pos="8083"/>
        </w:tabs>
        <w:ind w:left="425" w:hanging="425"/>
        <w:jc w:val="both"/>
        <w:rPr>
          <w:rFonts w:ascii="Times New Roman" w:hAnsi="Times New Roman" w:cs="David" w:hint="cs"/>
          <w:sz w:val="22"/>
          <w:szCs w:val="22"/>
          <w:u w:val="single"/>
        </w:rPr>
      </w:pPr>
    </w:p>
    <w:p w:rsidR="00ED5542" w:rsidRPr="00341C3E" w:rsidRDefault="00ED5542" w:rsidP="00ED5542">
      <w:pPr>
        <w:pStyle w:val="a3"/>
        <w:numPr>
          <w:ilvl w:val="1"/>
          <w:numId w:val="9"/>
        </w:numPr>
        <w:tabs>
          <w:tab w:val="left" w:pos="8083"/>
        </w:tabs>
        <w:jc w:val="both"/>
        <w:rPr>
          <w:rFonts w:ascii="Times New Roman" w:hAnsi="Times New Roman" w:cs="David" w:hint="cs"/>
          <w:sz w:val="22"/>
          <w:szCs w:val="22"/>
        </w:rPr>
      </w:pPr>
      <w:r w:rsidRPr="00341C3E">
        <w:rPr>
          <w:rFonts w:ascii="Times New Roman" w:hAnsi="Times New Roman" w:cs="David" w:hint="cs"/>
          <w:sz w:val="22"/>
          <w:szCs w:val="22"/>
          <w:rtl/>
        </w:rPr>
        <w:t xml:space="preserve">להלן </w:t>
      </w:r>
      <w:r w:rsidRPr="00341C3E">
        <w:rPr>
          <w:rFonts w:ascii="Times New Roman" w:hAnsi="Times New Roman" w:cs="David"/>
          <w:sz w:val="22"/>
          <w:szCs w:val="22"/>
          <w:rtl/>
        </w:rPr>
        <w:t>מכסת הק"מ השנתית על-פי רמות ניידות לבעלי רכב ש</w:t>
      </w:r>
      <w:r w:rsidRPr="00341C3E">
        <w:rPr>
          <w:rFonts w:ascii="Times New Roman" w:hAnsi="Times New Roman" w:cs="David" w:hint="cs"/>
          <w:sz w:val="22"/>
          <w:szCs w:val="22"/>
          <w:rtl/>
        </w:rPr>
        <w:t>י</w:t>
      </w:r>
      <w:r w:rsidRPr="00341C3E">
        <w:rPr>
          <w:rFonts w:ascii="Times New Roman" w:hAnsi="Times New Roman" w:cs="David"/>
          <w:sz w:val="22"/>
          <w:szCs w:val="22"/>
          <w:rtl/>
        </w:rPr>
        <w:t>רות - דרכים קשות:</w:t>
      </w:r>
    </w:p>
    <w:p w:rsidR="00ED5542" w:rsidRPr="00341C3E" w:rsidRDefault="00ED5542" w:rsidP="00ED5542">
      <w:pPr>
        <w:pStyle w:val="a3"/>
        <w:tabs>
          <w:tab w:val="left" w:pos="8083"/>
        </w:tabs>
        <w:jc w:val="both"/>
        <w:rPr>
          <w:rFonts w:ascii="Times New Roman" w:hAnsi="Times New Roman" w:cs="David" w:hint="cs"/>
          <w:sz w:val="22"/>
          <w:szCs w:val="22"/>
          <w:rtl/>
        </w:rPr>
      </w:pPr>
      <w:r w:rsidRPr="00341C3E">
        <w:rPr>
          <w:rFonts w:ascii="Times New Roman" w:hAnsi="Times New Roman" w:cs="David"/>
          <w:sz w:val="22"/>
          <w:szCs w:val="22"/>
          <w:rtl/>
        </w:rPr>
        <w:t xml:space="preserve">       </w:t>
      </w:r>
    </w:p>
    <w:tbl>
      <w:tblPr>
        <w:tblStyle w:val="aa"/>
        <w:bidiVisual/>
        <w:tblW w:w="0" w:type="auto"/>
        <w:tblLook w:val="01E0"/>
      </w:tblPr>
      <w:tblGrid>
        <w:gridCol w:w="4251"/>
        <w:gridCol w:w="4271"/>
      </w:tblGrid>
      <w:tr w:rsidR="00ED5542" w:rsidRPr="00341C3E">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רמת ניידות</w:t>
            </w:r>
          </w:p>
        </w:tc>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מכסת הק"מ השנתית</w:t>
            </w:r>
          </w:p>
        </w:tc>
      </w:tr>
      <w:tr w:rsidR="00ED5542" w:rsidRPr="00341C3E">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1</w:t>
            </w:r>
          </w:p>
        </w:tc>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4,500</w:t>
            </w:r>
          </w:p>
        </w:tc>
      </w:tr>
      <w:tr w:rsidR="00ED5542" w:rsidRPr="00341C3E">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2</w:t>
            </w:r>
          </w:p>
        </w:tc>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6,000</w:t>
            </w:r>
          </w:p>
        </w:tc>
      </w:tr>
      <w:tr w:rsidR="00ED5542" w:rsidRPr="00341C3E">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3</w:t>
            </w:r>
          </w:p>
        </w:tc>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8,000</w:t>
            </w:r>
          </w:p>
        </w:tc>
      </w:tr>
      <w:tr w:rsidR="00ED5542" w:rsidRPr="00341C3E">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4</w:t>
            </w:r>
          </w:p>
        </w:tc>
        <w:tc>
          <w:tcPr>
            <w:tcW w:w="4789" w:type="dxa"/>
          </w:tcPr>
          <w:p w:rsidR="00ED5542" w:rsidRPr="00341C3E" w:rsidRDefault="00ED5542" w:rsidP="00ED5542">
            <w:pPr>
              <w:pStyle w:val="a3"/>
              <w:tabs>
                <w:tab w:val="left" w:pos="8083"/>
              </w:tabs>
              <w:rPr>
                <w:rFonts w:ascii="Times New Roman" w:hAnsi="Times New Roman" w:cs="David" w:hint="cs"/>
                <w:sz w:val="22"/>
                <w:szCs w:val="22"/>
                <w:rtl/>
              </w:rPr>
            </w:pPr>
            <w:r w:rsidRPr="00341C3E">
              <w:rPr>
                <w:rFonts w:ascii="Times New Roman" w:hAnsi="Times New Roman" w:cs="David" w:hint="cs"/>
                <w:sz w:val="22"/>
                <w:szCs w:val="22"/>
                <w:rtl/>
              </w:rPr>
              <w:t>10,000</w:t>
            </w:r>
          </w:p>
        </w:tc>
      </w:tr>
    </w:tbl>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numPr>
          <w:ilvl w:val="1"/>
          <w:numId w:val="9"/>
        </w:numPr>
        <w:tabs>
          <w:tab w:val="left" w:pos="8083"/>
        </w:tabs>
        <w:jc w:val="both"/>
        <w:rPr>
          <w:rFonts w:ascii="Times New Roman" w:hAnsi="Times New Roman" w:cs="David" w:hint="cs"/>
          <w:sz w:val="22"/>
          <w:szCs w:val="22"/>
        </w:rPr>
      </w:pPr>
      <w:r w:rsidRPr="00341C3E">
        <w:rPr>
          <w:rFonts w:ascii="Times New Roman" w:hAnsi="Times New Roman" w:cs="David" w:hint="cs"/>
          <w:sz w:val="22"/>
          <w:szCs w:val="22"/>
          <w:rtl/>
        </w:rPr>
        <w:t>התשלום החודשי של ההוצאות הקבועות לעובדים הזכאים לתעריף "דרכים קשות יחושב לפי היחס המאושר של השיעור בדרכים קשות לבין השיעור בדרכים רגילות.</w:t>
      </w:r>
    </w:p>
    <w:p w:rsidR="00ED5542" w:rsidRPr="00341C3E" w:rsidRDefault="00ED5542" w:rsidP="00ED5542">
      <w:pPr>
        <w:pStyle w:val="a3"/>
        <w:tabs>
          <w:tab w:val="left" w:pos="8083"/>
        </w:tabs>
        <w:ind w:left="1117"/>
        <w:jc w:val="both"/>
        <w:rPr>
          <w:rFonts w:ascii="Times New Roman" w:hAnsi="Times New Roman" w:cs="David" w:hint="cs"/>
          <w:sz w:val="22"/>
          <w:szCs w:val="22"/>
          <w:rtl/>
        </w:rPr>
      </w:pPr>
      <w:r w:rsidRPr="00341C3E">
        <w:rPr>
          <w:rFonts w:ascii="Times New Roman" w:hAnsi="Times New Roman" w:cs="David" w:hint="cs"/>
          <w:sz w:val="22"/>
          <w:szCs w:val="22"/>
          <w:rtl/>
        </w:rPr>
        <w:t>סכומי ההוצאות הקבועות הנ"ל כוללים דמי חניה. אין לשלמם בנפרד.</w:t>
      </w:r>
    </w:p>
    <w:p w:rsidR="00ED5542" w:rsidRPr="00341C3E" w:rsidRDefault="00ED5542" w:rsidP="00ED5542">
      <w:pPr>
        <w:pStyle w:val="a3"/>
        <w:tabs>
          <w:tab w:val="left" w:pos="8083"/>
        </w:tabs>
        <w:ind w:left="1117"/>
        <w:jc w:val="both"/>
        <w:rPr>
          <w:rFonts w:ascii="Times New Roman" w:hAnsi="Times New Roman" w:cs="David" w:hint="cs"/>
          <w:sz w:val="22"/>
          <w:szCs w:val="22"/>
          <w:rtl/>
        </w:rPr>
      </w:pPr>
      <w:r w:rsidRPr="00341C3E">
        <w:rPr>
          <w:rFonts w:ascii="Times New Roman" w:hAnsi="Times New Roman" w:cs="David" w:hint="cs"/>
          <w:sz w:val="22"/>
          <w:szCs w:val="22"/>
          <w:rtl/>
        </w:rPr>
        <w:tab/>
      </w:r>
    </w:p>
    <w:p w:rsidR="00ED5542" w:rsidRPr="00341C3E" w:rsidRDefault="00ED5542" w:rsidP="00ED5542">
      <w:pPr>
        <w:pStyle w:val="a3"/>
        <w:numPr>
          <w:ilvl w:val="1"/>
          <w:numId w:val="9"/>
        </w:numPr>
        <w:tabs>
          <w:tab w:val="left" w:pos="8083"/>
        </w:tabs>
        <w:jc w:val="both"/>
        <w:rPr>
          <w:rFonts w:ascii="Times New Roman" w:hAnsi="Times New Roman" w:cs="David" w:hint="cs"/>
          <w:sz w:val="22"/>
          <w:szCs w:val="22"/>
        </w:rPr>
      </w:pPr>
      <w:r w:rsidRPr="00341C3E">
        <w:rPr>
          <w:rFonts w:ascii="Times New Roman" w:hAnsi="Times New Roman" w:cs="David" w:hint="cs"/>
          <w:sz w:val="22"/>
          <w:szCs w:val="22"/>
          <w:rtl/>
        </w:rPr>
        <w:t xml:space="preserve">קצובת נסיעה לבעלי דרכים קשות </w:t>
      </w:r>
      <w:r w:rsidRPr="00341C3E">
        <w:rPr>
          <w:rFonts w:ascii="Times New Roman" w:hAnsi="Times New Roman" w:cs="David"/>
          <w:sz w:val="22"/>
          <w:szCs w:val="22"/>
          <w:rtl/>
        </w:rPr>
        <w:t>–</w:t>
      </w:r>
      <w:r w:rsidRPr="00341C3E">
        <w:rPr>
          <w:rFonts w:ascii="Times New Roman" w:hAnsi="Times New Roman" w:cs="David" w:hint="cs"/>
          <w:sz w:val="22"/>
          <w:szCs w:val="22"/>
          <w:rtl/>
        </w:rPr>
        <w:t xml:space="preserve"> לעובד בעל תקן דרכים קשות, ישולם חופשי- חודשי עבור נסיעותיו מהבית לעבודה בהתאם לכללי החשב הכללי בנושא ולפי אזור המגורים. העובד לא יהיה רשאי לדווח קילומטרים מהבית למשרד בתעריף דרכים קשות. עובד שקצובת הנסיעה שלו גבוהה מתעריף חופשי-חודשי מרחבי, תשולם לו קצובת נסיעה בתחבורה ציבורית לפי דיווח יומי לכל נסיעה. יודגש כי לא יהיה קיזוז יחסי לפי ימי עבודה לעובד המקבל החזר לפי "חודשי חופשי".</w:t>
      </w:r>
    </w:p>
    <w:p w:rsidR="00ED5542" w:rsidRPr="00341C3E" w:rsidRDefault="00ED5542" w:rsidP="00ED5542">
      <w:pPr>
        <w:pStyle w:val="a3"/>
        <w:numPr>
          <w:ilvl w:val="0"/>
          <w:numId w:val="9"/>
        </w:numPr>
        <w:tabs>
          <w:tab w:val="left" w:pos="8083"/>
        </w:tabs>
        <w:jc w:val="both"/>
        <w:rPr>
          <w:rFonts w:ascii="Times New Roman" w:hAnsi="Times New Roman" w:cs="David" w:hint="cs"/>
          <w:b/>
          <w:bCs/>
          <w:sz w:val="22"/>
          <w:szCs w:val="22"/>
          <w:u w:val="single"/>
        </w:rPr>
      </w:pPr>
      <w:r w:rsidRPr="00341C3E">
        <w:rPr>
          <w:rFonts w:ascii="Times New Roman" w:hAnsi="Times New Roman" w:cs="David"/>
          <w:sz w:val="22"/>
          <w:szCs w:val="22"/>
          <w:rtl/>
        </w:rPr>
        <w:br w:type="page"/>
      </w:r>
      <w:r w:rsidRPr="00341C3E">
        <w:rPr>
          <w:rFonts w:ascii="Times New Roman" w:hAnsi="Times New Roman" w:cs="David" w:hint="cs"/>
          <w:b/>
          <w:bCs/>
          <w:sz w:val="22"/>
          <w:szCs w:val="22"/>
          <w:u w:val="single"/>
          <w:rtl/>
        </w:rPr>
        <w:lastRenderedPageBreak/>
        <w:t>תשלום על-פי תעריפי תחבורה ציבורית לעובדים בעלי רכב אישי ושירות, אשר סיימו את מכסת הק"מ החודשית</w:t>
      </w:r>
    </w:p>
    <w:p w:rsidR="00ED5542" w:rsidRPr="00341C3E" w:rsidRDefault="00ED5542" w:rsidP="00ED5542">
      <w:pPr>
        <w:pStyle w:val="a3"/>
        <w:tabs>
          <w:tab w:val="left" w:pos="8083"/>
        </w:tabs>
        <w:jc w:val="both"/>
        <w:rPr>
          <w:rFonts w:ascii="Times New Roman" w:hAnsi="Times New Roman" w:cs="David" w:hint="cs"/>
          <w:b/>
          <w:bCs/>
          <w:sz w:val="22"/>
          <w:szCs w:val="22"/>
          <w:u w:val="single"/>
          <w:rtl/>
        </w:rPr>
      </w:pPr>
    </w:p>
    <w:p w:rsidR="00ED5542" w:rsidRPr="00341C3E" w:rsidRDefault="00ED5542" w:rsidP="00ED5542">
      <w:pPr>
        <w:numPr>
          <w:ilvl w:val="1"/>
          <w:numId w:val="10"/>
        </w:numPr>
        <w:tabs>
          <w:tab w:val="left" w:pos="8083"/>
          <w:tab w:val="left" w:pos="8228"/>
        </w:tabs>
        <w:overflowPunct w:val="0"/>
        <w:autoSpaceDE w:val="0"/>
        <w:autoSpaceDN w:val="0"/>
        <w:adjustRightInd w:val="0"/>
        <w:spacing w:before="120"/>
        <w:jc w:val="both"/>
        <w:textAlignment w:val="baseline"/>
        <w:rPr>
          <w:rFonts w:hint="cs"/>
          <w:sz w:val="22"/>
          <w:szCs w:val="22"/>
          <w:rtl/>
        </w:rPr>
      </w:pPr>
      <w:r w:rsidRPr="00341C3E">
        <w:rPr>
          <w:rFonts w:hint="cs"/>
          <w:sz w:val="22"/>
          <w:szCs w:val="22"/>
          <w:rtl/>
        </w:rPr>
        <w:t xml:space="preserve">עובדים בעלי רכב שירות או אישי, אשר סיימו את מכסת הקילומטרים החודשית, שאושרה להם בהתאם לרמת ניידותם, יהיו זכאים על-פי אישור מראש מהמנכ"ל, להחזר הוצאות עבור נסיעות בינעירוניות בתפקיד לפי תעריפי תחבורה ציבורית.  </w:t>
      </w:r>
    </w:p>
    <w:p w:rsidR="00ED5542" w:rsidRPr="00341C3E" w:rsidRDefault="00ED5542" w:rsidP="00ED5542">
      <w:pPr>
        <w:numPr>
          <w:ilvl w:val="1"/>
          <w:numId w:val="10"/>
        </w:numPr>
        <w:tabs>
          <w:tab w:val="left" w:pos="8083"/>
          <w:tab w:val="left" w:pos="8228"/>
        </w:tabs>
        <w:overflowPunct w:val="0"/>
        <w:autoSpaceDE w:val="0"/>
        <w:autoSpaceDN w:val="0"/>
        <w:adjustRightInd w:val="0"/>
        <w:spacing w:before="120"/>
        <w:jc w:val="both"/>
        <w:textAlignment w:val="baseline"/>
        <w:rPr>
          <w:rFonts w:hint="cs"/>
          <w:sz w:val="22"/>
          <w:szCs w:val="22"/>
        </w:rPr>
      </w:pPr>
      <w:r w:rsidRPr="00341C3E">
        <w:rPr>
          <w:rFonts w:hint="cs"/>
          <w:sz w:val="22"/>
          <w:szCs w:val="22"/>
          <w:rtl/>
        </w:rPr>
        <w:t>לאור מקרים בהם מאגר הקילומטרים, לביצוע משימה חולפת, לא מוקצה נכונה ולאור התרבות המקרים בהם עובדים דורשים החזר הוצאות נסיעה בתחבורה הציבורית משיקולים לא עניינים הוחמרה הבקרה על ביצוע ההוצאה כאמור:</w:t>
      </w:r>
    </w:p>
    <w:p w:rsidR="00ED5542" w:rsidRPr="00341C3E" w:rsidRDefault="00ED5542" w:rsidP="00ED5542">
      <w:pPr>
        <w:numPr>
          <w:ilvl w:val="2"/>
          <w:numId w:val="10"/>
        </w:numPr>
        <w:tabs>
          <w:tab w:val="left" w:pos="8083"/>
          <w:tab w:val="left" w:pos="8228"/>
        </w:tabs>
        <w:overflowPunct w:val="0"/>
        <w:autoSpaceDE w:val="0"/>
        <w:autoSpaceDN w:val="0"/>
        <w:adjustRightInd w:val="0"/>
        <w:spacing w:before="120"/>
        <w:jc w:val="both"/>
        <w:textAlignment w:val="baseline"/>
        <w:rPr>
          <w:rFonts w:hint="cs"/>
          <w:sz w:val="22"/>
          <w:szCs w:val="22"/>
          <w:rtl/>
        </w:rPr>
      </w:pPr>
      <w:r w:rsidRPr="00341C3E">
        <w:rPr>
          <w:rFonts w:hint="cs"/>
          <w:sz w:val="22"/>
          <w:szCs w:val="22"/>
          <w:rtl/>
        </w:rPr>
        <w:t xml:space="preserve">כל החזר הוצאות עבור נסיעה בתחבורה ציבורית לעובדים בעלי רכב שירות או אישי  לאחר סיום מכסת הקילומטרים החודשית המאושרת </w:t>
      </w:r>
      <w:r w:rsidRPr="00341C3E">
        <w:rPr>
          <w:rFonts w:hint="cs"/>
          <w:b/>
          <w:bCs/>
          <w:sz w:val="22"/>
          <w:szCs w:val="22"/>
          <w:rtl/>
        </w:rPr>
        <w:t>בוטלה</w:t>
      </w:r>
      <w:r w:rsidRPr="00341C3E">
        <w:rPr>
          <w:rFonts w:hint="cs"/>
          <w:sz w:val="22"/>
          <w:szCs w:val="22"/>
          <w:rtl/>
        </w:rPr>
        <w:t>. האמור בסעיף זה אינו חל על רשימת בעלי תפקידים, אשר תגובש בין חשב המשרד וסמנכ"ל המשרד, ותאושר על-ידי מנכ"ל המשרד, ובלבד שסכום ההחזר לא יעלה על 1,000 ₪ לחודש לעובד. את הרשימה יש להעביר למטה השכר בחשב הכללי.</w:t>
      </w:r>
    </w:p>
    <w:p w:rsidR="00ED5542" w:rsidRPr="00341C3E" w:rsidRDefault="00ED5542" w:rsidP="00ED5542">
      <w:pPr>
        <w:numPr>
          <w:ilvl w:val="2"/>
          <w:numId w:val="10"/>
        </w:numPr>
        <w:tabs>
          <w:tab w:val="left" w:pos="8083"/>
          <w:tab w:val="left" w:pos="8228"/>
        </w:tabs>
        <w:overflowPunct w:val="0"/>
        <w:autoSpaceDE w:val="0"/>
        <w:autoSpaceDN w:val="0"/>
        <w:adjustRightInd w:val="0"/>
        <w:spacing w:before="120"/>
        <w:jc w:val="both"/>
        <w:textAlignment w:val="baseline"/>
        <w:rPr>
          <w:rFonts w:hint="cs"/>
          <w:b/>
          <w:bCs/>
          <w:sz w:val="22"/>
          <w:szCs w:val="22"/>
          <w:u w:val="single"/>
          <w:rtl/>
          <w:lang w:eastAsia="en-US"/>
        </w:rPr>
      </w:pPr>
      <w:r w:rsidRPr="00341C3E">
        <w:rPr>
          <w:rFonts w:hint="cs"/>
          <w:sz w:val="22"/>
          <w:szCs w:val="22"/>
          <w:rtl/>
        </w:rPr>
        <w:t>לגבי עובדים, אשר אינם בעלי רכב מסוג שירות או אישי, ואשר אינם מקבלים החזר  הוצאות רכב מהמדינה יעמוד סכום ההחזר החודשי המקסימאלי על 1,500 ₪ לעובד.</w:t>
      </w:r>
    </w:p>
    <w:p w:rsidR="00ED5542" w:rsidRPr="00341C3E" w:rsidRDefault="00ED5542" w:rsidP="00ED5542">
      <w:pPr>
        <w:tabs>
          <w:tab w:val="left" w:pos="8083"/>
          <w:tab w:val="left" w:pos="8228"/>
        </w:tabs>
        <w:spacing w:before="120"/>
        <w:rPr>
          <w:rFonts w:hint="cs"/>
          <w:sz w:val="22"/>
          <w:szCs w:val="22"/>
        </w:rPr>
      </w:pPr>
    </w:p>
    <w:p w:rsidR="00ED5542" w:rsidRPr="00341C3E" w:rsidRDefault="00ED5542" w:rsidP="00ED5542">
      <w:pPr>
        <w:numPr>
          <w:ilvl w:val="0"/>
          <w:numId w:val="10"/>
        </w:numPr>
        <w:tabs>
          <w:tab w:val="left" w:pos="8083"/>
          <w:tab w:val="left" w:pos="8228"/>
        </w:tabs>
        <w:overflowPunct w:val="0"/>
        <w:autoSpaceDE w:val="0"/>
        <w:autoSpaceDN w:val="0"/>
        <w:adjustRightInd w:val="0"/>
        <w:spacing w:before="120"/>
        <w:jc w:val="both"/>
        <w:textAlignment w:val="baseline"/>
        <w:rPr>
          <w:rFonts w:hint="cs"/>
          <w:sz w:val="22"/>
          <w:szCs w:val="22"/>
          <w:lang w:eastAsia="en-US"/>
        </w:rPr>
      </w:pPr>
      <w:r w:rsidRPr="00341C3E">
        <w:rPr>
          <w:rFonts w:hint="cs"/>
          <w:sz w:val="22"/>
          <w:szCs w:val="22"/>
          <w:rtl/>
        </w:rPr>
        <w:t>ר</w:t>
      </w:r>
      <w:r w:rsidRPr="00341C3E">
        <w:rPr>
          <w:rFonts w:hint="cs"/>
          <w:b/>
          <w:bCs/>
          <w:sz w:val="22"/>
          <w:szCs w:val="22"/>
          <w:u w:val="single"/>
          <w:rtl/>
          <w:lang w:eastAsia="en-US"/>
        </w:rPr>
        <w:t>כישת רכב פרטי בליסינג</w:t>
      </w:r>
    </w:p>
    <w:p w:rsidR="00ED5542" w:rsidRPr="00341C3E" w:rsidRDefault="00ED5542" w:rsidP="00ED5542">
      <w:pPr>
        <w:tabs>
          <w:tab w:val="left" w:pos="8083"/>
          <w:tab w:val="left" w:pos="8228"/>
        </w:tabs>
        <w:rPr>
          <w:rFonts w:hint="cs"/>
          <w:sz w:val="22"/>
          <w:szCs w:val="22"/>
          <w:rtl/>
          <w:lang w:eastAsia="en-US"/>
        </w:rPr>
      </w:pPr>
    </w:p>
    <w:p w:rsidR="00ED5542" w:rsidRPr="00341C3E" w:rsidRDefault="00ED5542" w:rsidP="00ED5542">
      <w:pPr>
        <w:tabs>
          <w:tab w:val="left" w:pos="7799"/>
          <w:tab w:val="left" w:pos="8083"/>
          <w:tab w:val="left" w:pos="8225"/>
        </w:tabs>
        <w:ind w:left="397"/>
        <w:rPr>
          <w:rFonts w:hint="cs"/>
          <w:sz w:val="22"/>
          <w:szCs w:val="22"/>
          <w:rtl/>
        </w:rPr>
      </w:pPr>
      <w:r w:rsidRPr="00341C3E">
        <w:rPr>
          <w:rFonts w:hint="cs"/>
          <w:sz w:val="22"/>
          <w:szCs w:val="22"/>
          <w:rtl/>
        </w:rPr>
        <w:t xml:space="preserve">לעובדים </w:t>
      </w:r>
      <w:r w:rsidRPr="00341C3E">
        <w:rPr>
          <w:rFonts w:hint="cs"/>
          <w:b/>
          <w:bCs/>
          <w:sz w:val="22"/>
          <w:szCs w:val="22"/>
          <w:u w:val="single"/>
          <w:rtl/>
        </w:rPr>
        <w:t>הרוכשים</w:t>
      </w:r>
      <w:r w:rsidRPr="00341C3E">
        <w:rPr>
          <w:rFonts w:hint="cs"/>
          <w:sz w:val="22"/>
          <w:szCs w:val="22"/>
          <w:rtl/>
        </w:rPr>
        <w:t xml:space="preserve"> רכבים פרטיים בשיטת הליסינג המימוני בלבד, ניתן לאשר החזר הוצאות רכב (כאשר בשיטה זו רכבם אינו רשום על שמם) רק אם נתמלאו לגבי אותם עובדים כל התנאים הבאים במצטבר:</w:t>
      </w:r>
    </w:p>
    <w:p w:rsidR="00ED5542" w:rsidRPr="00341C3E" w:rsidRDefault="00ED5542" w:rsidP="00ED5542">
      <w:pPr>
        <w:tabs>
          <w:tab w:val="left" w:pos="7799"/>
          <w:tab w:val="left" w:pos="8083"/>
          <w:tab w:val="left" w:pos="8225"/>
        </w:tabs>
        <w:ind w:left="397"/>
        <w:rPr>
          <w:rFonts w:hint="cs"/>
          <w:sz w:val="22"/>
          <w:szCs w:val="22"/>
          <w:rtl/>
        </w:rPr>
      </w:pPr>
    </w:p>
    <w:p w:rsidR="00ED5542" w:rsidRPr="00341C3E" w:rsidRDefault="00ED5542" w:rsidP="00ED5542">
      <w:pPr>
        <w:numPr>
          <w:ilvl w:val="1"/>
          <w:numId w:val="10"/>
        </w:numPr>
        <w:tabs>
          <w:tab w:val="left" w:pos="7799"/>
          <w:tab w:val="left" w:pos="8083"/>
          <w:tab w:val="left" w:pos="8225"/>
        </w:tabs>
        <w:overflowPunct w:val="0"/>
        <w:autoSpaceDE w:val="0"/>
        <w:autoSpaceDN w:val="0"/>
        <w:adjustRightInd w:val="0"/>
        <w:jc w:val="both"/>
        <w:textAlignment w:val="baseline"/>
        <w:rPr>
          <w:rFonts w:hint="cs"/>
          <w:sz w:val="22"/>
          <w:szCs w:val="22"/>
          <w:rtl/>
          <w:lang w:eastAsia="en-US"/>
        </w:rPr>
      </w:pPr>
      <w:r w:rsidRPr="00341C3E">
        <w:rPr>
          <w:rFonts w:hint="cs"/>
          <w:sz w:val="22"/>
          <w:szCs w:val="22"/>
          <w:rtl/>
          <w:lang w:eastAsia="en-US"/>
        </w:rPr>
        <w:t>חוזה הרכישה בין עובד המדינה לבין החברה, כשהרכב רשום על שם החברה לצורך בטחונות בלבד;</w:t>
      </w:r>
    </w:p>
    <w:p w:rsidR="00ED5542" w:rsidRPr="00341C3E" w:rsidRDefault="00ED5542" w:rsidP="00ED5542">
      <w:pPr>
        <w:numPr>
          <w:ilvl w:val="1"/>
          <w:numId w:val="10"/>
        </w:numPr>
        <w:tabs>
          <w:tab w:val="left" w:pos="7799"/>
          <w:tab w:val="left" w:pos="8083"/>
          <w:tab w:val="left" w:pos="8225"/>
        </w:tabs>
        <w:overflowPunct w:val="0"/>
        <w:autoSpaceDE w:val="0"/>
        <w:autoSpaceDN w:val="0"/>
        <w:adjustRightInd w:val="0"/>
        <w:jc w:val="both"/>
        <w:textAlignment w:val="baseline"/>
        <w:rPr>
          <w:rFonts w:hint="cs"/>
          <w:sz w:val="22"/>
          <w:szCs w:val="22"/>
          <w:lang w:eastAsia="en-US"/>
        </w:rPr>
      </w:pPr>
      <w:r w:rsidRPr="00341C3E">
        <w:rPr>
          <w:rFonts w:hint="cs"/>
          <w:sz w:val="22"/>
          <w:szCs w:val="22"/>
          <w:rtl/>
          <w:lang w:eastAsia="en-US"/>
        </w:rPr>
        <w:t>פוליסות ביטוח הרכב הן החובה והן המקיף יירשמו על שם עובד המדינה;</w:t>
      </w:r>
    </w:p>
    <w:p w:rsidR="00ED5542" w:rsidRPr="00341C3E" w:rsidRDefault="00ED5542" w:rsidP="00ED5542">
      <w:pPr>
        <w:numPr>
          <w:ilvl w:val="1"/>
          <w:numId w:val="10"/>
        </w:numPr>
        <w:tabs>
          <w:tab w:val="left" w:pos="7799"/>
          <w:tab w:val="left" w:pos="8083"/>
          <w:tab w:val="left" w:pos="8225"/>
        </w:tabs>
        <w:overflowPunct w:val="0"/>
        <w:autoSpaceDE w:val="0"/>
        <w:autoSpaceDN w:val="0"/>
        <w:adjustRightInd w:val="0"/>
        <w:jc w:val="both"/>
        <w:textAlignment w:val="baseline"/>
        <w:rPr>
          <w:rFonts w:hint="cs"/>
          <w:sz w:val="22"/>
          <w:szCs w:val="22"/>
          <w:lang w:eastAsia="en-US"/>
        </w:rPr>
      </w:pPr>
      <w:r w:rsidRPr="00341C3E">
        <w:rPr>
          <w:rFonts w:hint="cs"/>
          <w:sz w:val="22"/>
          <w:szCs w:val="22"/>
          <w:rtl/>
          <w:lang w:eastAsia="en-US"/>
        </w:rPr>
        <w:t>יש לערוך בדיקה אחת לשנה, במועד חידוש ביטוח הרכב, שהחוזה עדיין בתוקף;</w:t>
      </w:r>
    </w:p>
    <w:p w:rsidR="00ED5542" w:rsidRPr="00341C3E" w:rsidRDefault="00ED5542" w:rsidP="00ED5542">
      <w:pPr>
        <w:numPr>
          <w:ilvl w:val="1"/>
          <w:numId w:val="10"/>
        </w:numPr>
        <w:tabs>
          <w:tab w:val="left" w:pos="7799"/>
          <w:tab w:val="left" w:pos="8083"/>
          <w:tab w:val="left" w:pos="8225"/>
        </w:tabs>
        <w:overflowPunct w:val="0"/>
        <w:autoSpaceDE w:val="0"/>
        <w:autoSpaceDN w:val="0"/>
        <w:adjustRightInd w:val="0"/>
        <w:textAlignment w:val="baseline"/>
        <w:rPr>
          <w:rFonts w:hint="cs"/>
          <w:sz w:val="22"/>
          <w:szCs w:val="22"/>
          <w:lang w:eastAsia="en-US"/>
        </w:rPr>
      </w:pPr>
      <w:r w:rsidRPr="00341C3E">
        <w:rPr>
          <w:rFonts w:hint="cs"/>
          <w:sz w:val="22"/>
          <w:szCs w:val="22"/>
          <w:rtl/>
          <w:lang w:eastAsia="en-US"/>
        </w:rPr>
        <w:t>בתום החוזה ולא יותר מ-3 שנים, חייב הרכב לעבור לבעלותו המלאה של העובד או להימכר.</w:t>
      </w:r>
    </w:p>
    <w:p w:rsidR="00ED5542" w:rsidRPr="00341C3E" w:rsidRDefault="00ED5542" w:rsidP="00ED5542">
      <w:pPr>
        <w:tabs>
          <w:tab w:val="left" w:pos="7799"/>
          <w:tab w:val="left" w:pos="8083"/>
          <w:tab w:val="left" w:pos="8225"/>
        </w:tabs>
        <w:rPr>
          <w:rFonts w:hint="cs"/>
          <w:sz w:val="22"/>
          <w:szCs w:val="22"/>
          <w:rtl/>
          <w:lang w:eastAsia="en-US"/>
        </w:rPr>
      </w:pPr>
    </w:p>
    <w:p w:rsidR="00ED5542" w:rsidRPr="00341C3E" w:rsidRDefault="00ED5542" w:rsidP="00ED5542">
      <w:pPr>
        <w:pStyle w:val="a3"/>
        <w:numPr>
          <w:ilvl w:val="0"/>
          <w:numId w:val="10"/>
        </w:numPr>
        <w:tabs>
          <w:tab w:val="left" w:pos="7799"/>
          <w:tab w:val="left" w:pos="8083"/>
          <w:tab w:val="left" w:pos="8225"/>
        </w:tabs>
        <w:jc w:val="both"/>
        <w:rPr>
          <w:rFonts w:ascii="Times New Roman" w:hAnsi="Times New Roman" w:cs="David" w:hint="cs"/>
          <w:b/>
          <w:bCs/>
          <w:sz w:val="22"/>
          <w:szCs w:val="22"/>
          <w:u w:val="single"/>
        </w:rPr>
      </w:pPr>
      <w:r w:rsidRPr="00341C3E">
        <w:rPr>
          <w:rFonts w:ascii="Times New Roman" w:hAnsi="Times New Roman" w:cs="David"/>
          <w:b/>
          <w:bCs/>
          <w:sz w:val="22"/>
          <w:szCs w:val="22"/>
          <w:u w:val="single"/>
          <w:rtl/>
        </w:rPr>
        <w:t>איסור</w:t>
      </w:r>
      <w:r w:rsidRPr="00341C3E">
        <w:rPr>
          <w:rFonts w:ascii="Times New Roman" w:hAnsi="Times New Roman" w:cs="David" w:hint="cs"/>
          <w:b/>
          <w:bCs/>
          <w:sz w:val="22"/>
          <w:szCs w:val="22"/>
          <w:u w:val="single"/>
          <w:rtl/>
        </w:rPr>
        <w:t xml:space="preserve"> ש</w:t>
      </w:r>
      <w:r w:rsidRPr="00341C3E">
        <w:rPr>
          <w:rFonts w:ascii="Times New Roman" w:hAnsi="Times New Roman" w:cs="David"/>
          <w:b/>
          <w:bCs/>
          <w:sz w:val="22"/>
          <w:szCs w:val="22"/>
          <w:u w:val="single"/>
          <w:rtl/>
        </w:rPr>
        <w:t>ימוש ברכב ממשלתי</w:t>
      </w:r>
    </w:p>
    <w:p w:rsidR="00ED5542" w:rsidRPr="00341C3E" w:rsidRDefault="00ED5542" w:rsidP="00ED5542">
      <w:pPr>
        <w:pStyle w:val="a3"/>
        <w:tabs>
          <w:tab w:val="left" w:pos="7799"/>
          <w:tab w:val="left" w:pos="8083"/>
          <w:tab w:val="left" w:pos="8225"/>
        </w:tabs>
        <w:jc w:val="both"/>
        <w:rPr>
          <w:rFonts w:ascii="Times New Roman" w:hAnsi="Times New Roman" w:cs="David" w:hint="cs"/>
          <w:b/>
          <w:bCs/>
          <w:sz w:val="22"/>
          <w:szCs w:val="22"/>
          <w:u w:val="single"/>
          <w:rtl/>
        </w:rPr>
      </w:pPr>
    </w:p>
    <w:p w:rsidR="00ED5542" w:rsidRPr="00341C3E" w:rsidRDefault="00ED5542" w:rsidP="00ED5542">
      <w:pPr>
        <w:pStyle w:val="a3"/>
        <w:tabs>
          <w:tab w:val="left" w:pos="7799"/>
          <w:tab w:val="left" w:pos="8083"/>
          <w:tab w:val="left" w:pos="8225"/>
        </w:tabs>
        <w:ind w:left="397"/>
        <w:jc w:val="both"/>
        <w:rPr>
          <w:rFonts w:ascii="Times New Roman" w:hAnsi="Times New Roman" w:cs="David" w:hint="cs"/>
          <w:sz w:val="22"/>
          <w:szCs w:val="22"/>
          <w:rtl/>
        </w:rPr>
      </w:pPr>
      <w:r w:rsidRPr="00341C3E">
        <w:rPr>
          <w:rFonts w:ascii="Times New Roman" w:hAnsi="Times New Roman" w:cs="David"/>
          <w:sz w:val="22"/>
          <w:szCs w:val="22"/>
          <w:rtl/>
        </w:rPr>
        <w:t xml:space="preserve">עובד, שהמשרד משתתף באחזקת רכבו הפרטי, כגון: רכב שירות, אישי, משימות - </w:t>
      </w:r>
      <w:r w:rsidRPr="00341C3E">
        <w:rPr>
          <w:rFonts w:ascii="Times New Roman" w:hAnsi="Times New Roman" w:cs="David"/>
          <w:b/>
          <w:bCs/>
          <w:sz w:val="22"/>
          <w:szCs w:val="22"/>
          <w:u w:val="single"/>
          <w:rtl/>
        </w:rPr>
        <w:t>אינו</w:t>
      </w:r>
      <w:r w:rsidRPr="00341C3E">
        <w:rPr>
          <w:rFonts w:ascii="Times New Roman" w:hAnsi="Times New Roman" w:cs="David"/>
          <w:sz w:val="22"/>
          <w:szCs w:val="22"/>
          <w:rtl/>
        </w:rPr>
        <w:t xml:space="preserve"> רשאי לנהוג</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ברכב ממשלתי, להוציא המקרים שלהלן: </w:t>
      </w:r>
    </w:p>
    <w:p w:rsidR="00ED5542" w:rsidRPr="00341C3E" w:rsidRDefault="00ED5542" w:rsidP="00ED5542">
      <w:pPr>
        <w:pStyle w:val="a3"/>
        <w:tabs>
          <w:tab w:val="left" w:pos="7799"/>
          <w:tab w:val="left" w:pos="8083"/>
          <w:tab w:val="left" w:pos="8225"/>
        </w:tabs>
        <w:ind w:left="397"/>
        <w:jc w:val="both"/>
        <w:rPr>
          <w:rFonts w:ascii="Times New Roman" w:hAnsi="Times New Roman" w:cs="David" w:hint="cs"/>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10"/>
        </w:numPr>
        <w:tabs>
          <w:tab w:val="left" w:pos="7799"/>
          <w:tab w:val="left" w:pos="8083"/>
          <w:tab w:val="left" w:pos="8225"/>
        </w:tabs>
        <w:jc w:val="both"/>
        <w:rPr>
          <w:rFonts w:ascii="Times New Roman" w:hAnsi="Times New Roman" w:cs="David" w:hint="cs"/>
          <w:sz w:val="22"/>
          <w:szCs w:val="22"/>
          <w:rtl/>
        </w:rPr>
      </w:pPr>
      <w:r w:rsidRPr="00341C3E">
        <w:rPr>
          <w:rFonts w:ascii="Times New Roman" w:hAnsi="Times New Roman" w:cs="David"/>
          <w:sz w:val="22"/>
          <w:szCs w:val="22"/>
          <w:rtl/>
        </w:rPr>
        <w:t xml:space="preserve">סגן המנהל הכללי של המשרד אישר לו לנהוג ברכב הממשלתי  בנסיעה  חד-פעמית, או בסדרת נסיעות, לצורך משימה מיוחדת, כגון: נסיעה בשטחים קשים, או לצורך משימה במסגרת צוות מיוחד.  </w:t>
      </w:r>
    </w:p>
    <w:p w:rsidR="00ED5542" w:rsidRPr="00341C3E" w:rsidRDefault="00ED5542" w:rsidP="00ED5542">
      <w:pPr>
        <w:pStyle w:val="a3"/>
        <w:tabs>
          <w:tab w:val="left" w:pos="7799"/>
          <w:tab w:val="left" w:pos="8083"/>
          <w:tab w:val="left" w:pos="8225"/>
        </w:tabs>
        <w:ind w:left="397"/>
        <w:jc w:val="both"/>
        <w:rPr>
          <w:rFonts w:ascii="Times New Roman" w:hAnsi="Times New Roman" w:cs="David" w:hint="cs"/>
          <w:sz w:val="22"/>
          <w:szCs w:val="22"/>
          <w:rtl/>
        </w:rPr>
      </w:pPr>
    </w:p>
    <w:p w:rsidR="00ED5542" w:rsidRPr="00341C3E" w:rsidRDefault="00ED5542" w:rsidP="00ED5542">
      <w:pPr>
        <w:pStyle w:val="a3"/>
        <w:numPr>
          <w:ilvl w:val="1"/>
          <w:numId w:val="10"/>
        </w:numPr>
        <w:tabs>
          <w:tab w:val="left" w:pos="1418"/>
          <w:tab w:val="left" w:pos="7799"/>
          <w:tab w:val="left" w:pos="8083"/>
          <w:tab w:val="left" w:pos="8225"/>
        </w:tabs>
        <w:jc w:val="both"/>
        <w:rPr>
          <w:rFonts w:ascii="Times New Roman" w:hAnsi="Times New Roman" w:cs="David" w:hint="cs"/>
          <w:sz w:val="22"/>
          <w:szCs w:val="22"/>
          <w:rtl/>
        </w:rPr>
      </w:pPr>
      <w:r w:rsidRPr="00341C3E">
        <w:rPr>
          <w:rFonts w:ascii="Times New Roman" w:hAnsi="Times New Roman" w:cs="David"/>
          <w:sz w:val="22"/>
          <w:szCs w:val="22"/>
          <w:rtl/>
        </w:rPr>
        <w:t xml:space="preserve">סגן המנהל הכללי של המשרד אישר לו לנהוג ברכב ממשלתי בנסיעות בתפקיד:    </w:t>
      </w:r>
    </w:p>
    <w:p w:rsidR="00ED5542" w:rsidRPr="00341C3E" w:rsidRDefault="00ED5542" w:rsidP="00ED5542">
      <w:pPr>
        <w:pStyle w:val="a3"/>
        <w:tabs>
          <w:tab w:val="left" w:pos="1418"/>
          <w:tab w:val="left" w:pos="7799"/>
          <w:tab w:val="left" w:pos="8083"/>
          <w:tab w:val="left" w:pos="8225"/>
        </w:tabs>
        <w:jc w:val="both"/>
        <w:rPr>
          <w:rFonts w:ascii="Times New Roman" w:hAnsi="Times New Roman" w:cs="David" w:hint="cs"/>
          <w:sz w:val="22"/>
          <w:szCs w:val="22"/>
          <w:rtl/>
        </w:rPr>
      </w:pPr>
    </w:p>
    <w:p w:rsidR="00ED5542" w:rsidRPr="00341C3E" w:rsidRDefault="00ED5542" w:rsidP="00ED5542">
      <w:pPr>
        <w:pStyle w:val="a3"/>
        <w:numPr>
          <w:ilvl w:val="2"/>
          <w:numId w:val="10"/>
        </w:numPr>
        <w:tabs>
          <w:tab w:val="left" w:pos="1134"/>
          <w:tab w:val="left" w:pos="1701"/>
          <w:tab w:val="left" w:pos="8083"/>
          <w:tab w:val="left" w:pos="8225"/>
        </w:tabs>
        <w:jc w:val="both"/>
        <w:rPr>
          <w:rFonts w:ascii="Times New Roman" w:hAnsi="Times New Roman" w:cs="David"/>
          <w:sz w:val="22"/>
          <w:szCs w:val="22"/>
        </w:rPr>
      </w:pPr>
      <w:r w:rsidRPr="00341C3E">
        <w:rPr>
          <w:rFonts w:ascii="Times New Roman" w:hAnsi="Times New Roman" w:cs="David"/>
          <w:sz w:val="22"/>
          <w:szCs w:val="22"/>
          <w:rtl/>
        </w:rPr>
        <w:t>בתקופה, בה רכבו הפרטי של העובד נמצא במוסך, או בין מכירה  לקנייה  של</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רכבו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של העובד, ובלבד שתקופה זו לא תעלה על חודש אחד;                </w:t>
      </w:r>
    </w:p>
    <w:p w:rsidR="00ED5542" w:rsidRPr="00341C3E" w:rsidRDefault="00ED5542" w:rsidP="00ED5542">
      <w:pPr>
        <w:pStyle w:val="a3"/>
        <w:tabs>
          <w:tab w:val="left" w:pos="1418"/>
          <w:tab w:val="left" w:pos="8083"/>
          <w:tab w:val="left" w:pos="8225"/>
        </w:tabs>
        <w:ind w:left="1418" w:firstLine="4134"/>
        <w:jc w:val="both"/>
        <w:rPr>
          <w:rFonts w:ascii="Times New Roman" w:hAnsi="Times New Roman" w:cs="David"/>
          <w:sz w:val="22"/>
          <w:szCs w:val="22"/>
        </w:rPr>
      </w:pPr>
    </w:p>
    <w:p w:rsidR="00ED5542" w:rsidRPr="00341C3E" w:rsidRDefault="00ED5542" w:rsidP="00ED5542">
      <w:pPr>
        <w:pStyle w:val="a3"/>
        <w:numPr>
          <w:ilvl w:val="2"/>
          <w:numId w:val="10"/>
        </w:numPr>
        <w:tabs>
          <w:tab w:val="left" w:pos="992"/>
          <w:tab w:val="left" w:pos="8083"/>
          <w:tab w:val="left" w:pos="8225"/>
        </w:tabs>
        <w:jc w:val="both"/>
        <w:rPr>
          <w:rFonts w:ascii="Times New Roman" w:hAnsi="Times New Roman" w:cs="David"/>
          <w:sz w:val="22"/>
          <w:szCs w:val="22"/>
        </w:rPr>
      </w:pPr>
      <w:r w:rsidRPr="00341C3E">
        <w:rPr>
          <w:rFonts w:ascii="Times New Roman" w:hAnsi="Times New Roman" w:cs="David"/>
          <w:sz w:val="22"/>
          <w:szCs w:val="22"/>
          <w:rtl/>
        </w:rPr>
        <w:t>במקום רכבו הפרטי, שנגנב, והעובד לא קיבל  רכב  חלופי  מחברת  הביטוח,</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ובלבד שתקופה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זו לא תעלה על</w:t>
      </w:r>
      <w:r w:rsidRPr="00341C3E">
        <w:rPr>
          <w:rFonts w:ascii="Times New Roman" w:hAnsi="Times New Roman" w:cs="David" w:hint="cs"/>
          <w:sz w:val="22"/>
          <w:szCs w:val="22"/>
          <w:rtl/>
        </w:rPr>
        <w:t xml:space="preserve"> 45 </w:t>
      </w:r>
      <w:r w:rsidRPr="00341C3E">
        <w:rPr>
          <w:rFonts w:ascii="Times New Roman" w:hAnsi="Times New Roman" w:cs="David"/>
          <w:sz w:val="22"/>
          <w:szCs w:val="22"/>
          <w:rtl/>
        </w:rPr>
        <w:t xml:space="preserve">ימים.                                </w:t>
      </w:r>
    </w:p>
    <w:p w:rsidR="00ED5542" w:rsidRPr="00341C3E" w:rsidRDefault="00ED5542" w:rsidP="00ED5542">
      <w:pPr>
        <w:pStyle w:val="a3"/>
        <w:tabs>
          <w:tab w:val="left" w:pos="1418"/>
          <w:tab w:val="left" w:pos="8083"/>
          <w:tab w:val="left" w:pos="8225"/>
        </w:tabs>
        <w:ind w:left="1418" w:hanging="426"/>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10"/>
        </w:numPr>
        <w:tabs>
          <w:tab w:val="left" w:pos="992"/>
          <w:tab w:val="left" w:pos="8083"/>
          <w:tab w:val="left" w:pos="8225"/>
        </w:tabs>
        <w:jc w:val="both"/>
        <w:rPr>
          <w:rFonts w:ascii="Times New Roman" w:hAnsi="Times New Roman" w:cs="David" w:hint="cs"/>
          <w:sz w:val="22"/>
          <w:szCs w:val="22"/>
          <w:rtl/>
        </w:rPr>
      </w:pPr>
      <w:r w:rsidRPr="00341C3E">
        <w:rPr>
          <w:rFonts w:ascii="Times New Roman" w:hAnsi="Times New Roman" w:cs="David"/>
          <w:sz w:val="22"/>
          <w:szCs w:val="22"/>
          <w:rtl/>
        </w:rPr>
        <w:t>ניתן לאפשר לבעלי תפקידים שימוש ברכב איגום</w:t>
      </w:r>
      <w:r w:rsidRPr="00341C3E">
        <w:rPr>
          <w:rFonts w:ascii="Times New Roman" w:hAnsi="Times New Roman" w:cs="David" w:hint="cs"/>
          <w:sz w:val="22"/>
          <w:szCs w:val="22"/>
          <w:rtl/>
        </w:rPr>
        <w:t xml:space="preserve"> בתפקיד</w:t>
      </w:r>
      <w:r w:rsidRPr="00341C3E">
        <w:rPr>
          <w:rFonts w:ascii="Times New Roman" w:hAnsi="Times New Roman" w:cs="David"/>
          <w:sz w:val="22"/>
          <w:szCs w:val="22"/>
          <w:rtl/>
        </w:rPr>
        <w:t xml:space="preserve"> עד יום אחד בשבוע  ולא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יותר מ-5 ימים בחודש.     </w:t>
      </w:r>
    </w:p>
    <w:p w:rsidR="00ED5542" w:rsidRPr="00341C3E" w:rsidRDefault="00ED5542" w:rsidP="00ED5542">
      <w:pPr>
        <w:pStyle w:val="a3"/>
        <w:numPr>
          <w:ilvl w:val="1"/>
          <w:numId w:val="10"/>
        </w:numPr>
        <w:tabs>
          <w:tab w:val="left" w:pos="992"/>
          <w:tab w:val="left" w:pos="8083"/>
          <w:tab w:val="left" w:pos="8225"/>
        </w:tabs>
        <w:jc w:val="both"/>
        <w:rPr>
          <w:rFonts w:ascii="Times New Roman" w:hAnsi="Times New Roman" w:cs="David"/>
          <w:sz w:val="22"/>
          <w:szCs w:val="22"/>
        </w:rPr>
      </w:pPr>
      <w:r w:rsidRPr="00341C3E">
        <w:rPr>
          <w:rFonts w:ascii="Times New Roman" w:hAnsi="Times New Roman" w:cs="David"/>
          <w:sz w:val="22"/>
          <w:szCs w:val="22"/>
          <w:rtl/>
        </w:rPr>
        <w:t xml:space="preserve"> שימוש ברכב עבור סגן המנהל הכללי ייעשה על-פי ההוראות הנ"ל ובאישור  בכתב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מהמנהל הכללי של המשרד.                                    </w:t>
      </w:r>
    </w:p>
    <w:p w:rsidR="00ED5542" w:rsidRPr="00341C3E" w:rsidRDefault="00ED5542" w:rsidP="00ED5542">
      <w:pPr>
        <w:pStyle w:val="a3"/>
        <w:numPr>
          <w:ilvl w:val="1"/>
          <w:numId w:val="10"/>
        </w:numPr>
        <w:tabs>
          <w:tab w:val="left" w:pos="992"/>
          <w:tab w:val="left" w:pos="8083"/>
        </w:tabs>
        <w:jc w:val="both"/>
        <w:rPr>
          <w:rFonts w:ascii="Times New Roman" w:hAnsi="Times New Roman" w:cs="David" w:hint="cs"/>
          <w:sz w:val="22"/>
          <w:szCs w:val="22"/>
        </w:rPr>
      </w:pPr>
      <w:r w:rsidRPr="00341C3E">
        <w:rPr>
          <w:rFonts w:ascii="Times New Roman" w:hAnsi="Times New Roman" w:cs="David" w:hint="cs"/>
          <w:sz w:val="22"/>
          <w:szCs w:val="22"/>
          <w:rtl/>
        </w:rPr>
        <w:t>אישור להקצאה של מעל יום אחד יתוייק בחשבות בתיקו של העובד.</w:t>
      </w:r>
    </w:p>
    <w:p w:rsidR="00ED5542" w:rsidRPr="00341C3E" w:rsidRDefault="00ED5542" w:rsidP="00ED5542">
      <w:pPr>
        <w:pStyle w:val="a3"/>
        <w:tabs>
          <w:tab w:val="left" w:pos="992"/>
          <w:tab w:val="left" w:pos="1276"/>
          <w:tab w:val="left" w:pos="8083"/>
        </w:tabs>
        <w:jc w:val="both"/>
        <w:rPr>
          <w:rFonts w:ascii="Times New Roman" w:hAnsi="Times New Roman" w:cs="David" w:hint="cs"/>
          <w:b/>
          <w:bCs/>
          <w:sz w:val="22"/>
          <w:szCs w:val="22"/>
          <w:u w:val="single"/>
          <w:rtl/>
        </w:rPr>
      </w:pPr>
    </w:p>
    <w:p w:rsidR="00ED5542" w:rsidRPr="00341C3E" w:rsidRDefault="00ED5542" w:rsidP="00ED5542">
      <w:pPr>
        <w:pStyle w:val="a3"/>
        <w:tabs>
          <w:tab w:val="left" w:pos="992"/>
          <w:tab w:val="left" w:pos="1276"/>
          <w:tab w:val="left" w:pos="8083"/>
        </w:tabs>
        <w:jc w:val="both"/>
        <w:rPr>
          <w:rFonts w:ascii="Times New Roman" w:hAnsi="Times New Roman" w:cs="David" w:hint="cs"/>
          <w:b/>
          <w:bCs/>
          <w:sz w:val="22"/>
          <w:szCs w:val="22"/>
          <w:u w:val="single"/>
          <w:rtl/>
        </w:rPr>
      </w:pPr>
    </w:p>
    <w:p w:rsidR="00ED5542" w:rsidRPr="00341C3E" w:rsidRDefault="00ED5542" w:rsidP="00ED5542">
      <w:pPr>
        <w:pStyle w:val="a3"/>
        <w:numPr>
          <w:ilvl w:val="0"/>
          <w:numId w:val="10"/>
        </w:numPr>
        <w:tabs>
          <w:tab w:val="left" w:pos="992"/>
          <w:tab w:val="left" w:pos="1276"/>
          <w:tab w:val="left" w:pos="8083"/>
        </w:tabs>
        <w:jc w:val="both"/>
        <w:rPr>
          <w:rFonts w:ascii="Times New Roman" w:hAnsi="Times New Roman" w:cs="David" w:hint="cs"/>
          <w:sz w:val="22"/>
          <w:szCs w:val="22"/>
          <w:rtl/>
        </w:rPr>
      </w:pPr>
      <w:r w:rsidRPr="00341C3E">
        <w:rPr>
          <w:rFonts w:ascii="Times New Roman" w:hAnsi="Times New Roman" w:cs="David" w:hint="cs"/>
          <w:b/>
          <w:bCs/>
          <w:sz w:val="22"/>
          <w:szCs w:val="22"/>
          <w:u w:val="single"/>
          <w:rtl/>
        </w:rPr>
        <w:t>ז</w:t>
      </w:r>
      <w:r w:rsidRPr="00341C3E">
        <w:rPr>
          <w:rFonts w:ascii="Times New Roman" w:hAnsi="Times New Roman" w:cs="David"/>
          <w:b/>
          <w:bCs/>
          <w:sz w:val="22"/>
          <w:szCs w:val="22"/>
          <w:u w:val="single"/>
          <w:rtl/>
        </w:rPr>
        <w:t>קיפת הטבה בגין הצמדת רכב ממשלתי</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s>
        <w:ind w:firstLine="4260"/>
        <w:jc w:val="both"/>
        <w:rPr>
          <w:rFonts w:ascii="Times New Roman" w:hAnsi="Times New Roman" w:cs="David"/>
          <w:sz w:val="22"/>
          <w:szCs w:val="22"/>
        </w:rPr>
      </w:pPr>
    </w:p>
    <w:p w:rsidR="00ED5542" w:rsidRPr="00341C3E" w:rsidRDefault="00ED5542" w:rsidP="00ED5542">
      <w:pPr>
        <w:pStyle w:val="a3"/>
        <w:numPr>
          <w:ilvl w:val="1"/>
          <w:numId w:val="10"/>
        </w:numPr>
        <w:tabs>
          <w:tab w:val="left" w:pos="8083"/>
        </w:tabs>
        <w:jc w:val="both"/>
        <w:rPr>
          <w:rFonts w:ascii="Times New Roman" w:hAnsi="Times New Roman" w:cs="David" w:hint="cs"/>
          <w:sz w:val="22"/>
          <w:szCs w:val="22"/>
        </w:rPr>
      </w:pPr>
      <w:r w:rsidRPr="00341C3E">
        <w:rPr>
          <w:rFonts w:ascii="Times New Roman" w:hAnsi="Times New Roman" w:cs="David"/>
          <w:sz w:val="22"/>
          <w:szCs w:val="22"/>
          <w:rtl/>
        </w:rPr>
        <w:t>מי שלתפקידו או למשרתו הוצמד רכב  ממשלתי,  חייב  בזקיפת  הטבה  בשיעורים</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שהחשב הכללי מפרסם מידי פעם.</w:t>
      </w:r>
    </w:p>
    <w:p w:rsidR="00ED5542" w:rsidRPr="00341C3E" w:rsidRDefault="00ED5542" w:rsidP="00ED5542">
      <w:pPr>
        <w:pStyle w:val="a3"/>
        <w:tabs>
          <w:tab w:val="left" w:pos="8083"/>
        </w:tabs>
        <w:jc w:val="both"/>
        <w:rPr>
          <w:rFonts w:ascii="Times New Roman" w:hAnsi="Times New Roman" w:cs="David" w:hint="cs"/>
          <w:sz w:val="22"/>
          <w:szCs w:val="22"/>
        </w:rPr>
      </w:pPr>
    </w:p>
    <w:p w:rsidR="00ED5542" w:rsidRPr="00341C3E" w:rsidRDefault="00ED5542" w:rsidP="00ED5542">
      <w:pPr>
        <w:pStyle w:val="a3"/>
        <w:numPr>
          <w:ilvl w:val="1"/>
          <w:numId w:val="10"/>
        </w:numPr>
        <w:tabs>
          <w:tab w:val="left" w:pos="992"/>
          <w:tab w:val="left" w:pos="8083"/>
        </w:tabs>
        <w:jc w:val="both"/>
        <w:rPr>
          <w:rFonts w:cs="David" w:hint="cs"/>
          <w:sz w:val="22"/>
          <w:szCs w:val="22"/>
        </w:rPr>
      </w:pPr>
      <w:r w:rsidRPr="00341C3E">
        <w:rPr>
          <w:rFonts w:ascii="Times New Roman" w:hAnsi="Times New Roman" w:cs="David" w:hint="cs"/>
          <w:sz w:val="22"/>
          <w:szCs w:val="22"/>
          <w:u w:val="single"/>
          <w:rtl/>
        </w:rPr>
        <w:t>ר</w:t>
      </w:r>
      <w:r w:rsidRPr="00341C3E">
        <w:rPr>
          <w:rFonts w:cs="David" w:hint="cs"/>
          <w:sz w:val="22"/>
          <w:szCs w:val="22"/>
          <w:u w:val="single"/>
          <w:rtl/>
        </w:rPr>
        <w:t>כבי איגום</w:t>
      </w:r>
      <w:r w:rsidRPr="00341C3E">
        <w:rPr>
          <w:rFonts w:cs="David" w:hint="cs"/>
          <w:sz w:val="22"/>
          <w:szCs w:val="22"/>
          <w:rtl/>
        </w:rPr>
        <w:t xml:space="preserve"> </w:t>
      </w:r>
      <w:r w:rsidRPr="00341C3E">
        <w:rPr>
          <w:rFonts w:cs="David"/>
          <w:sz w:val="22"/>
          <w:szCs w:val="22"/>
          <w:rtl/>
        </w:rPr>
        <w:t>–</w:t>
      </w:r>
      <w:r w:rsidRPr="00341C3E">
        <w:rPr>
          <w:rFonts w:cs="David" w:hint="cs"/>
          <w:sz w:val="22"/>
          <w:szCs w:val="22"/>
          <w:rtl/>
        </w:rPr>
        <w:t xml:space="preserve"> רכבי איגום המוקצים לעובדים לאחר שעות העבודה ו/או סיום יום העבודה, ואשר אינם מוחזרים למשרד אלא נותרים בחניית העובד מהווים הטבה לכל דבר ועניין ולפיכך יש לנהוג כדלקמן: </w:t>
      </w:r>
    </w:p>
    <w:p w:rsidR="00ED5542" w:rsidRPr="00341C3E" w:rsidRDefault="00ED5542" w:rsidP="00ED5542">
      <w:pPr>
        <w:pStyle w:val="Reference"/>
        <w:numPr>
          <w:ilvl w:val="2"/>
          <w:numId w:val="10"/>
        </w:numPr>
        <w:tabs>
          <w:tab w:val="clear" w:pos="1474"/>
          <w:tab w:val="left" w:pos="1276"/>
        </w:tabs>
        <w:spacing w:before="120"/>
        <w:jc w:val="both"/>
        <w:rPr>
          <w:rFonts w:cs="David" w:hint="cs"/>
          <w:sz w:val="22"/>
          <w:szCs w:val="22"/>
          <w:lang w:eastAsia="en-US"/>
        </w:rPr>
      </w:pPr>
      <w:r w:rsidRPr="00341C3E">
        <w:rPr>
          <w:rFonts w:cs="David" w:hint="cs"/>
          <w:sz w:val="22"/>
          <w:szCs w:val="22"/>
          <w:rtl/>
          <w:lang w:eastAsia="en-US"/>
        </w:rPr>
        <w:t xml:space="preserve">במידה והשימוש ברכב האיגום בוצע עד פעם בחודש אין לבצע זקיפה למס; </w:t>
      </w:r>
    </w:p>
    <w:p w:rsidR="00ED5542" w:rsidRPr="00341C3E" w:rsidRDefault="00ED5542" w:rsidP="00ED5542">
      <w:pPr>
        <w:pStyle w:val="Reference"/>
        <w:numPr>
          <w:ilvl w:val="2"/>
          <w:numId w:val="10"/>
        </w:numPr>
        <w:tabs>
          <w:tab w:val="clear" w:pos="1474"/>
        </w:tabs>
        <w:spacing w:before="120"/>
        <w:jc w:val="both"/>
        <w:rPr>
          <w:rFonts w:cs="David" w:hint="cs"/>
          <w:sz w:val="22"/>
          <w:szCs w:val="22"/>
          <w:lang w:eastAsia="en-US"/>
        </w:rPr>
      </w:pPr>
      <w:r w:rsidRPr="00341C3E">
        <w:rPr>
          <w:rFonts w:cs="David" w:hint="cs"/>
          <w:sz w:val="22"/>
          <w:szCs w:val="22"/>
          <w:rtl/>
          <w:lang w:eastAsia="en-US"/>
        </w:rPr>
        <w:t>במידה והשימוש ברכב האיגום בוצע פעמיים בחודש ומעלה יש לבצע זקיפה על-פי מספר הימים בהם הוצמד הרכב לעובד. למניין ימי ההצמדה יתווסף גם יום ההצמדה הראשון;</w:t>
      </w:r>
    </w:p>
    <w:p w:rsidR="00ED5542" w:rsidRPr="00341C3E" w:rsidRDefault="00ED5542" w:rsidP="00ED5542">
      <w:pPr>
        <w:pStyle w:val="Reference"/>
        <w:numPr>
          <w:ilvl w:val="2"/>
          <w:numId w:val="10"/>
        </w:numPr>
        <w:tabs>
          <w:tab w:val="clear" w:pos="1474"/>
        </w:tabs>
        <w:spacing w:before="120"/>
        <w:jc w:val="both"/>
        <w:rPr>
          <w:rFonts w:cs="David" w:hint="cs"/>
          <w:sz w:val="22"/>
          <w:szCs w:val="22"/>
        </w:rPr>
      </w:pPr>
      <w:r w:rsidRPr="00341C3E">
        <w:rPr>
          <w:rFonts w:cs="David" w:hint="cs"/>
          <w:sz w:val="22"/>
          <w:szCs w:val="22"/>
          <w:rtl/>
          <w:lang w:eastAsia="en-US"/>
        </w:rPr>
        <w:t>ה</w:t>
      </w:r>
      <w:r w:rsidRPr="00341C3E">
        <w:rPr>
          <w:rFonts w:cs="David" w:hint="cs"/>
          <w:sz w:val="22"/>
          <w:szCs w:val="22"/>
          <w:rtl/>
        </w:rPr>
        <w:t>אמור בסעיף זה יחול גם על רכבי איגום המשמשים להסעת עובדים בכל שעות היממה במידה ורכבים אלו נותרים בשעות הלילה בחניית העובדים.</w:t>
      </w:r>
    </w:p>
    <w:p w:rsidR="00ED5542" w:rsidRPr="00341C3E" w:rsidRDefault="00ED5542" w:rsidP="00ED5542">
      <w:pPr>
        <w:pStyle w:val="Reference"/>
        <w:numPr>
          <w:ilvl w:val="1"/>
          <w:numId w:val="10"/>
        </w:numPr>
        <w:tabs>
          <w:tab w:val="clear" w:pos="1474"/>
        </w:tabs>
        <w:spacing w:before="120"/>
        <w:jc w:val="both"/>
        <w:rPr>
          <w:rFonts w:cs="David" w:hint="cs"/>
          <w:sz w:val="22"/>
          <w:szCs w:val="22"/>
          <w:lang w:eastAsia="en-US"/>
        </w:rPr>
      </w:pPr>
      <w:r w:rsidRPr="00341C3E">
        <w:rPr>
          <w:rFonts w:cs="David" w:hint="cs"/>
          <w:sz w:val="22"/>
          <w:szCs w:val="22"/>
          <w:u w:val="single"/>
          <w:rtl/>
        </w:rPr>
        <w:t xml:space="preserve">שכירת </w:t>
      </w:r>
      <w:r w:rsidRPr="00341C3E">
        <w:rPr>
          <w:rFonts w:cs="David" w:hint="cs"/>
          <w:sz w:val="22"/>
          <w:szCs w:val="22"/>
          <w:u w:val="single"/>
          <w:rtl/>
          <w:lang w:eastAsia="en-US"/>
        </w:rPr>
        <w:t>רכב לצרכי עבודה</w:t>
      </w:r>
      <w:r w:rsidRPr="00341C3E">
        <w:rPr>
          <w:rFonts w:cs="David" w:hint="cs"/>
          <w:sz w:val="22"/>
          <w:szCs w:val="22"/>
          <w:rtl/>
          <w:lang w:eastAsia="en-US"/>
        </w:rPr>
        <w:t xml:space="preserve"> </w:t>
      </w:r>
      <w:r w:rsidRPr="00341C3E">
        <w:rPr>
          <w:rFonts w:cs="David"/>
          <w:sz w:val="22"/>
          <w:szCs w:val="22"/>
          <w:rtl/>
          <w:lang w:eastAsia="en-US"/>
        </w:rPr>
        <w:t>–</w:t>
      </w:r>
      <w:r w:rsidRPr="00341C3E">
        <w:rPr>
          <w:rFonts w:cs="David" w:hint="cs"/>
          <w:sz w:val="22"/>
          <w:szCs w:val="22"/>
          <w:rtl/>
          <w:lang w:eastAsia="en-US"/>
        </w:rPr>
        <w:t xml:space="preserve"> שכירת רכב לצרכי עבודה הנשאר ברשות העובד גם מעבר לשעות העבודה, הן אם בארץ והן אם  בחו"ל, מחייבת זקיפת הטבה יחסית לפי מספר הימים בהתאם לכללי המס לגבי רכב צמוד. האמור בסעיף זה יחול אך ורק לגבי רכבים הנשכרים לטובת עובד ספציפי למשימה ספציפית. רכבים שכורים המצורפים לרכבי המאגר במשרד, ואשר נוהג בהם יותר מאדם אחד, ייחשבו לעניין המיסוי כרכבי איגום ויחולו לגביהם הכללים האמורים בסעיף 15.2 בחוזר זה.</w:t>
      </w:r>
    </w:p>
    <w:p w:rsidR="00ED5542" w:rsidRPr="00341C3E" w:rsidRDefault="00ED5542" w:rsidP="00ED5542">
      <w:pPr>
        <w:pStyle w:val="Reference"/>
        <w:tabs>
          <w:tab w:val="clear" w:pos="1474"/>
        </w:tabs>
        <w:spacing w:before="120"/>
        <w:ind w:left="425"/>
        <w:jc w:val="both"/>
        <w:rPr>
          <w:rFonts w:cs="David"/>
          <w:sz w:val="22"/>
          <w:szCs w:val="22"/>
          <w:rtl/>
        </w:rPr>
      </w:pPr>
      <w:r w:rsidRPr="00341C3E">
        <w:rPr>
          <w:rFonts w:cs="David"/>
          <w:sz w:val="22"/>
          <w:szCs w:val="22"/>
          <w:rtl/>
        </w:rPr>
        <w:t xml:space="preserve">                               </w:t>
      </w:r>
    </w:p>
    <w:p w:rsidR="00ED5542" w:rsidRPr="00341C3E" w:rsidRDefault="00ED5542" w:rsidP="00ED5542">
      <w:pPr>
        <w:pStyle w:val="Reference"/>
        <w:tabs>
          <w:tab w:val="clear" w:pos="1474"/>
        </w:tabs>
        <w:spacing w:before="120"/>
        <w:ind w:left="425"/>
        <w:jc w:val="both"/>
        <w:rPr>
          <w:rFonts w:cs="David"/>
          <w:sz w:val="22"/>
          <w:szCs w:val="22"/>
        </w:rPr>
      </w:pPr>
      <w:r w:rsidRPr="00341C3E">
        <w:rPr>
          <w:rFonts w:cs="David"/>
          <w:sz w:val="22"/>
          <w:szCs w:val="22"/>
          <w:rtl/>
        </w:rPr>
        <w:br w:type="page"/>
      </w:r>
      <w:r w:rsidRPr="00341C3E">
        <w:rPr>
          <w:rFonts w:cs="David"/>
          <w:sz w:val="22"/>
          <w:szCs w:val="22"/>
          <w:rtl/>
        </w:rPr>
        <w:lastRenderedPageBreak/>
        <w:t xml:space="preserve">                       </w:t>
      </w:r>
    </w:p>
    <w:p w:rsidR="00ED5542" w:rsidRPr="00341C3E" w:rsidRDefault="00ED5542" w:rsidP="00ED5542">
      <w:pPr>
        <w:pStyle w:val="a3"/>
        <w:numPr>
          <w:ilvl w:val="0"/>
          <w:numId w:val="10"/>
        </w:numPr>
        <w:tabs>
          <w:tab w:val="left" w:pos="8083"/>
        </w:tabs>
        <w:jc w:val="both"/>
        <w:rPr>
          <w:rFonts w:ascii="Times New Roman" w:hAnsi="Times New Roman" w:cs="David"/>
          <w:sz w:val="22"/>
          <w:szCs w:val="22"/>
        </w:rPr>
      </w:pPr>
      <w:r w:rsidRPr="00341C3E">
        <w:rPr>
          <w:rFonts w:ascii="Times New Roman" w:hAnsi="Times New Roman" w:cs="David"/>
          <w:b/>
          <w:bCs/>
          <w:sz w:val="22"/>
          <w:szCs w:val="22"/>
          <w:u w:val="single"/>
          <w:rtl/>
        </w:rPr>
        <w:t>שווי זקיפת הטבה רכב בזמן ה</w:t>
      </w:r>
      <w:r w:rsidRPr="00341C3E">
        <w:rPr>
          <w:rFonts w:ascii="Times New Roman" w:hAnsi="Times New Roman" w:cs="David" w:hint="cs"/>
          <w:b/>
          <w:bCs/>
          <w:sz w:val="22"/>
          <w:szCs w:val="22"/>
          <w:u w:val="single"/>
          <w:rtl/>
        </w:rPr>
        <w:t>י</w:t>
      </w:r>
      <w:r w:rsidRPr="00341C3E">
        <w:rPr>
          <w:rFonts w:ascii="Times New Roman" w:hAnsi="Times New Roman" w:cs="David"/>
          <w:b/>
          <w:bCs/>
          <w:sz w:val="22"/>
          <w:szCs w:val="22"/>
          <w:u w:val="single"/>
          <w:rtl/>
        </w:rPr>
        <w:t>עדרות מהעבודה</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s>
        <w:ind w:firstLine="4560"/>
        <w:jc w:val="both"/>
        <w:rPr>
          <w:rFonts w:ascii="Times New Roman" w:hAnsi="Times New Roman" w:cs="David"/>
          <w:sz w:val="22"/>
          <w:szCs w:val="22"/>
        </w:rPr>
      </w:pPr>
    </w:p>
    <w:p w:rsidR="00ED5542" w:rsidRPr="00341C3E" w:rsidRDefault="00ED5542" w:rsidP="00ED5542">
      <w:pPr>
        <w:pStyle w:val="a3"/>
        <w:numPr>
          <w:ilvl w:val="1"/>
          <w:numId w:val="10"/>
        </w:numPr>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שווי זקיפת ההטבה עבור השימוש ברכב  ממשלתי  הצמוד  לעובד,  כאשר  הוא נעדר מהעבודה במקרה של שהיה במילואים, שהיה בחו"ל, מחלה וכד' הוא  כלהלן:                                                             </w:t>
      </w:r>
    </w:p>
    <w:p w:rsidR="00ED5542" w:rsidRPr="00341C3E" w:rsidRDefault="00ED5542" w:rsidP="00ED5542">
      <w:pPr>
        <w:pStyle w:val="a3"/>
        <w:numPr>
          <w:ilvl w:val="2"/>
          <w:numId w:val="10"/>
        </w:numPr>
        <w:tabs>
          <w:tab w:val="left" w:pos="992"/>
          <w:tab w:val="left" w:pos="8222"/>
        </w:tabs>
        <w:jc w:val="both"/>
        <w:rPr>
          <w:rFonts w:ascii="Times New Roman" w:hAnsi="Times New Roman" w:cs="David"/>
          <w:sz w:val="22"/>
          <w:szCs w:val="22"/>
        </w:rPr>
      </w:pPr>
      <w:r w:rsidRPr="00341C3E">
        <w:rPr>
          <w:rFonts w:ascii="Times New Roman" w:hAnsi="Times New Roman" w:cs="David"/>
          <w:sz w:val="22"/>
          <w:szCs w:val="22"/>
          <w:rtl/>
        </w:rPr>
        <w:t>אם הרכב מושבת</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 במהלך החודש, בנסיבות רגילות, שווי השימוש</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רכב</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צמוד י</w:t>
      </w:r>
      <w:r w:rsidRPr="00341C3E">
        <w:rPr>
          <w:rFonts w:ascii="Times New Roman" w:hAnsi="Times New Roman" w:cs="David" w:hint="cs"/>
          <w:sz w:val="22"/>
          <w:szCs w:val="22"/>
          <w:rtl/>
        </w:rPr>
        <w:t>י</w:t>
      </w:r>
      <w:r w:rsidRPr="00341C3E">
        <w:rPr>
          <w:rFonts w:ascii="Times New Roman" w:hAnsi="Times New Roman" w:cs="David"/>
          <w:sz w:val="22"/>
          <w:szCs w:val="22"/>
          <w:rtl/>
        </w:rPr>
        <w:t>זקף</w:t>
      </w:r>
      <w:r w:rsidRPr="00341C3E">
        <w:rPr>
          <w:rFonts w:ascii="Times New Roman" w:hAnsi="Times New Roman" w:cs="David" w:hint="cs"/>
          <w:sz w:val="22"/>
          <w:szCs w:val="22"/>
          <w:rtl/>
        </w:rPr>
        <w:t xml:space="preserve">   ל</w:t>
      </w:r>
      <w:r w:rsidRPr="00341C3E">
        <w:rPr>
          <w:rFonts w:ascii="Times New Roman" w:hAnsi="Times New Roman" w:cs="David"/>
          <w:sz w:val="22"/>
          <w:szCs w:val="22"/>
          <w:rtl/>
        </w:rPr>
        <w:t xml:space="preserve">משכורתו של העובד כרגיל;                                    </w:t>
      </w:r>
    </w:p>
    <w:p w:rsidR="00ED5542" w:rsidRPr="00341C3E" w:rsidRDefault="00ED5542" w:rsidP="00ED5542">
      <w:pPr>
        <w:pStyle w:val="a3"/>
        <w:tabs>
          <w:tab w:val="left" w:pos="8083"/>
        </w:tabs>
        <w:ind w:firstLine="4560"/>
        <w:jc w:val="both"/>
        <w:rPr>
          <w:rFonts w:ascii="Times New Roman" w:hAnsi="Times New Roman" w:cs="David"/>
          <w:sz w:val="22"/>
          <w:szCs w:val="22"/>
        </w:rPr>
      </w:pPr>
    </w:p>
    <w:p w:rsidR="00ED5542" w:rsidRPr="00341C3E" w:rsidRDefault="00ED5542" w:rsidP="00ED5542">
      <w:pPr>
        <w:pStyle w:val="a3"/>
        <w:numPr>
          <w:ilvl w:val="2"/>
          <w:numId w:val="10"/>
        </w:numPr>
        <w:tabs>
          <w:tab w:val="left" w:pos="8083"/>
        </w:tabs>
        <w:jc w:val="both"/>
        <w:rPr>
          <w:rFonts w:ascii="Times New Roman" w:hAnsi="Times New Roman" w:cs="David" w:hint="cs"/>
          <w:sz w:val="22"/>
          <w:szCs w:val="22"/>
        </w:rPr>
      </w:pPr>
      <w:r w:rsidRPr="00341C3E">
        <w:rPr>
          <w:rFonts w:ascii="Times New Roman" w:hAnsi="Times New Roman" w:cs="David"/>
          <w:sz w:val="22"/>
          <w:szCs w:val="22"/>
          <w:rtl/>
        </w:rPr>
        <w:t>במקרים חריגים בהם יוכח</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כי הרכב הוחזר למעביד לתקופה העולה על חודש ימים קלנדרי</w:t>
      </w:r>
      <w:r w:rsidRPr="00341C3E">
        <w:rPr>
          <w:rFonts w:ascii="Times New Roman" w:hAnsi="Times New Roman" w:cs="David" w:hint="cs"/>
          <w:sz w:val="22"/>
          <w:szCs w:val="22"/>
          <w:rtl/>
        </w:rPr>
        <w:t xml:space="preserve"> בר</w:t>
      </w:r>
      <w:r w:rsidRPr="00341C3E">
        <w:rPr>
          <w:rFonts w:ascii="Times New Roman" w:hAnsi="Times New Roman" w:cs="David"/>
          <w:sz w:val="22"/>
          <w:szCs w:val="22"/>
          <w:rtl/>
        </w:rPr>
        <w:t>ציפות,  ניתן שלא לזקוף את שווי השימוש  ברכב  צמוד.</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אי הזקיפה מותנה בהוכחה חד משמעית</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כי הרכב לא עמד לרשות העובד באותה העת.  </w:t>
      </w: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tabs>
          <w:tab w:val="left" w:pos="8083"/>
        </w:tabs>
        <w:ind w:left="1780"/>
        <w:jc w:val="both"/>
        <w:rPr>
          <w:rFonts w:ascii="Times New Roman" w:hAnsi="Times New Roman" w:cs="David" w:hint="cs"/>
          <w:b/>
          <w:bCs/>
          <w:sz w:val="22"/>
          <w:szCs w:val="22"/>
          <w:u w:val="single"/>
          <w:rtl/>
        </w:rPr>
      </w:pPr>
      <w:r w:rsidRPr="00341C3E">
        <w:rPr>
          <w:rFonts w:ascii="Times New Roman" w:hAnsi="Times New Roman" w:cs="David"/>
          <w:sz w:val="22"/>
          <w:szCs w:val="22"/>
          <w:rtl/>
        </w:rPr>
        <w:t xml:space="preserve">הוכחה כזו תימצא למשל במקרה בו מועמד </w:t>
      </w:r>
      <w:r w:rsidRPr="00341C3E">
        <w:rPr>
          <w:rFonts w:ascii="Times New Roman" w:hAnsi="Times New Roman" w:cs="David" w:hint="cs"/>
          <w:sz w:val="22"/>
          <w:szCs w:val="22"/>
          <w:rtl/>
        </w:rPr>
        <w:t>ה</w:t>
      </w:r>
      <w:r w:rsidRPr="00341C3E">
        <w:rPr>
          <w:rFonts w:ascii="Times New Roman" w:hAnsi="Times New Roman" w:cs="David"/>
          <w:sz w:val="22"/>
          <w:szCs w:val="22"/>
          <w:rtl/>
        </w:rPr>
        <w:t xml:space="preserve">רכב  לרשות  עובד  אחר,  המשלם בגינו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מס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באותה התקופה, או כאשר הרכב הוחזר למאגר הרכב של המשרד.  </w:t>
      </w:r>
    </w:p>
    <w:p w:rsidR="00ED5542" w:rsidRPr="00341C3E" w:rsidRDefault="00ED5542" w:rsidP="00ED5542">
      <w:pPr>
        <w:pStyle w:val="a3"/>
        <w:numPr>
          <w:ilvl w:val="12"/>
          <w:numId w:val="0"/>
        </w:numPr>
        <w:tabs>
          <w:tab w:val="left" w:pos="8083"/>
        </w:tabs>
        <w:ind w:left="2704"/>
        <w:jc w:val="both"/>
        <w:rPr>
          <w:rFonts w:ascii="Times New Roman" w:hAnsi="Times New Roman" w:cs="David" w:hint="cs"/>
          <w:sz w:val="22"/>
          <w:szCs w:val="22"/>
        </w:rPr>
      </w:pP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numPr>
          <w:ilvl w:val="0"/>
          <w:numId w:val="10"/>
        </w:numPr>
        <w:tabs>
          <w:tab w:val="left" w:pos="8083"/>
        </w:tabs>
        <w:jc w:val="both"/>
        <w:rPr>
          <w:rFonts w:ascii="Times New Roman" w:hAnsi="Times New Roman" w:cs="David" w:hint="cs"/>
          <w:sz w:val="22"/>
          <w:szCs w:val="22"/>
        </w:rPr>
      </w:pPr>
      <w:r w:rsidRPr="00341C3E">
        <w:rPr>
          <w:rFonts w:ascii="Times New Roman" w:hAnsi="Times New Roman" w:cs="David"/>
          <w:b/>
          <w:bCs/>
          <w:sz w:val="22"/>
          <w:szCs w:val="22"/>
          <w:u w:val="single"/>
          <w:rtl/>
        </w:rPr>
        <w:t>השתתפות המשרד בביטוח מקיף</w:t>
      </w:r>
      <w:r w:rsidRPr="00341C3E">
        <w:rPr>
          <w:rFonts w:ascii="Times New Roman" w:hAnsi="Times New Roman" w:cs="David" w:hint="cs"/>
          <w:b/>
          <w:bCs/>
          <w:sz w:val="22"/>
          <w:szCs w:val="22"/>
          <w:u w:val="single"/>
          <w:rtl/>
        </w:rPr>
        <w:t xml:space="preserve"> וחובה-תעריף מאוחד</w:t>
      </w:r>
    </w:p>
    <w:p w:rsidR="00ED5542" w:rsidRPr="00341C3E" w:rsidRDefault="00ED5542" w:rsidP="00ED5542">
      <w:pPr>
        <w:pStyle w:val="a3"/>
        <w:tabs>
          <w:tab w:val="left" w:pos="8083"/>
        </w:tabs>
        <w:jc w:val="both"/>
        <w:rPr>
          <w:rFonts w:ascii="Times New Roman" w:hAnsi="Times New Roman" w:cs="David" w:hint="cs"/>
          <w:sz w:val="22"/>
          <w:szCs w:val="22"/>
          <w:u w:val="single"/>
        </w:rPr>
      </w:pPr>
    </w:p>
    <w:p w:rsidR="00ED5542" w:rsidRPr="00341C3E" w:rsidRDefault="00ED5542" w:rsidP="00ED5542">
      <w:pPr>
        <w:pStyle w:val="a3"/>
        <w:numPr>
          <w:ilvl w:val="1"/>
          <w:numId w:val="10"/>
        </w:numPr>
        <w:tabs>
          <w:tab w:val="left" w:pos="8083"/>
        </w:tabs>
        <w:jc w:val="both"/>
        <w:rPr>
          <w:rFonts w:ascii="Times New Roman" w:hAnsi="Times New Roman" w:cs="David"/>
          <w:sz w:val="22"/>
          <w:szCs w:val="22"/>
          <w:rtl/>
        </w:rPr>
      </w:pPr>
      <w:r w:rsidRPr="00341C3E">
        <w:rPr>
          <w:rFonts w:ascii="Times New Roman" w:hAnsi="Times New Roman" w:cs="David"/>
          <w:sz w:val="22"/>
          <w:szCs w:val="22"/>
          <w:rtl/>
        </w:rPr>
        <w:t>השתתפות המשרד בביטוח מקיף</w:t>
      </w:r>
      <w:r w:rsidRPr="00341C3E">
        <w:rPr>
          <w:rFonts w:ascii="Times New Roman" w:hAnsi="Times New Roman" w:cs="David" w:hint="cs"/>
          <w:sz w:val="22"/>
          <w:szCs w:val="22"/>
          <w:rtl/>
        </w:rPr>
        <w:t xml:space="preserve"> וחובה </w:t>
      </w:r>
      <w:r w:rsidRPr="00341C3E">
        <w:rPr>
          <w:rFonts w:ascii="Times New Roman" w:hAnsi="Times New Roman" w:cs="David"/>
          <w:sz w:val="22"/>
          <w:szCs w:val="22"/>
          <w:rtl/>
        </w:rPr>
        <w:t>לרכבם הפרטי של עובדי המדינה בעלי  רכב  שירות</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מתבססת על התעריפים</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שנקבעו עם חברות הביטוח</w:t>
      </w:r>
      <w:r w:rsidRPr="00341C3E">
        <w:rPr>
          <w:rFonts w:ascii="Times New Roman" w:hAnsi="Times New Roman" w:cs="David" w:hint="cs"/>
          <w:sz w:val="22"/>
          <w:szCs w:val="22"/>
          <w:rtl/>
        </w:rPr>
        <w:t>, שזכו</w:t>
      </w:r>
      <w:r w:rsidRPr="00341C3E">
        <w:rPr>
          <w:rFonts w:ascii="Times New Roman" w:hAnsi="Times New Roman" w:cs="David"/>
          <w:sz w:val="22"/>
          <w:szCs w:val="22"/>
          <w:rtl/>
        </w:rPr>
        <w:t xml:space="preserve"> במכרז ביטוח הרכב.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10"/>
        </w:numPr>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השתתפות המשרד תהיה על-פי </w:t>
      </w:r>
      <w:r w:rsidRPr="00341C3E">
        <w:rPr>
          <w:rFonts w:ascii="Times New Roman" w:hAnsi="Times New Roman" w:cs="David" w:hint="cs"/>
          <w:sz w:val="22"/>
          <w:szCs w:val="22"/>
          <w:rtl/>
        </w:rPr>
        <w:t>ה</w:t>
      </w:r>
      <w:r w:rsidRPr="00341C3E">
        <w:rPr>
          <w:rFonts w:ascii="Times New Roman" w:hAnsi="Times New Roman" w:cs="David"/>
          <w:sz w:val="22"/>
          <w:szCs w:val="22"/>
          <w:rtl/>
        </w:rPr>
        <w:t xml:space="preserve">סכומים </w:t>
      </w:r>
      <w:r w:rsidRPr="00341C3E">
        <w:rPr>
          <w:rFonts w:ascii="Times New Roman" w:hAnsi="Times New Roman" w:cs="David" w:hint="cs"/>
          <w:sz w:val="22"/>
          <w:szCs w:val="22"/>
          <w:rtl/>
        </w:rPr>
        <w:t>המ</w:t>
      </w:r>
      <w:r w:rsidRPr="00341C3E">
        <w:rPr>
          <w:rFonts w:ascii="Times New Roman" w:hAnsi="Times New Roman" w:cs="David"/>
          <w:sz w:val="22"/>
          <w:szCs w:val="22"/>
          <w:rtl/>
        </w:rPr>
        <w:t>פור</w:t>
      </w:r>
      <w:r w:rsidRPr="00341C3E">
        <w:rPr>
          <w:rFonts w:ascii="Times New Roman" w:hAnsi="Times New Roman" w:cs="David" w:hint="cs"/>
          <w:sz w:val="22"/>
          <w:szCs w:val="22"/>
          <w:rtl/>
        </w:rPr>
        <w:t xml:space="preserve">טים </w:t>
      </w:r>
      <w:r w:rsidRPr="00341C3E">
        <w:rPr>
          <w:rFonts w:ascii="Times New Roman" w:hAnsi="Times New Roman" w:cs="David"/>
          <w:sz w:val="22"/>
          <w:szCs w:val="22"/>
          <w:rtl/>
        </w:rPr>
        <w:t xml:space="preserve">בחוברת </w:t>
      </w:r>
      <w:r w:rsidRPr="00341C3E">
        <w:rPr>
          <w:rFonts w:ascii="Times New Roman" w:hAnsi="Times New Roman" w:cs="David" w:hint="cs"/>
          <w:sz w:val="22"/>
          <w:szCs w:val="22"/>
          <w:rtl/>
        </w:rPr>
        <w:t>התעריפים</w:t>
      </w:r>
      <w:r w:rsidRPr="00341C3E">
        <w:rPr>
          <w:rFonts w:ascii="Times New Roman" w:hAnsi="Times New Roman" w:cs="David"/>
          <w:sz w:val="22"/>
          <w:szCs w:val="22"/>
          <w:rtl/>
        </w:rPr>
        <w:t xml:space="preserve">  לפי  סוג  </w:t>
      </w:r>
      <w:r w:rsidRPr="00341C3E">
        <w:rPr>
          <w:rFonts w:ascii="Times New Roman" w:hAnsi="Times New Roman" w:cs="David" w:hint="cs"/>
          <w:sz w:val="22"/>
          <w:szCs w:val="22"/>
          <w:rtl/>
        </w:rPr>
        <w:t>הרכב</w:t>
      </w:r>
      <w:r w:rsidRPr="00341C3E">
        <w:rPr>
          <w:rFonts w:ascii="Times New Roman" w:hAnsi="Times New Roman" w:cs="David"/>
          <w:sz w:val="22"/>
          <w:szCs w:val="22"/>
          <w:rtl/>
        </w:rPr>
        <w:t xml:space="preserve"> ושנת הייצור ולא יותר </w:t>
      </w:r>
      <w:r w:rsidRPr="00341C3E">
        <w:rPr>
          <w:rFonts w:ascii="Times New Roman" w:hAnsi="Times New Roman" w:cs="David" w:hint="cs"/>
          <w:sz w:val="22"/>
          <w:szCs w:val="22"/>
          <w:rtl/>
        </w:rPr>
        <w:t>מ</w:t>
      </w:r>
      <w:r w:rsidRPr="00341C3E">
        <w:rPr>
          <w:rFonts w:ascii="Times New Roman" w:hAnsi="Times New Roman" w:cs="David"/>
          <w:sz w:val="22"/>
          <w:szCs w:val="22"/>
          <w:rtl/>
        </w:rPr>
        <w:t>הסכום שהעובד שילם בפועל</w:t>
      </w:r>
      <w:r w:rsidRPr="00341C3E">
        <w:rPr>
          <w:rFonts w:ascii="Times New Roman" w:hAnsi="Times New Roman" w:cs="David" w:hint="cs"/>
          <w:sz w:val="22"/>
          <w:szCs w:val="22"/>
          <w:rtl/>
        </w:rPr>
        <w:t>, ובכל מקרה לא יותר מהתקרה, כפי שמפרסם החשב הכללי מעת לעת.</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10"/>
        </w:numPr>
        <w:tabs>
          <w:tab w:val="left" w:pos="8083"/>
        </w:tabs>
        <w:jc w:val="both"/>
        <w:rPr>
          <w:rFonts w:ascii="Times New Roman" w:hAnsi="Times New Roman" w:cs="David" w:hint="cs"/>
          <w:sz w:val="22"/>
          <w:szCs w:val="22"/>
        </w:rPr>
      </w:pPr>
      <w:r w:rsidRPr="00341C3E">
        <w:rPr>
          <w:rFonts w:ascii="Times New Roman" w:hAnsi="Times New Roman" w:cs="David" w:hint="cs"/>
          <w:sz w:val="22"/>
          <w:szCs w:val="22"/>
          <w:rtl/>
        </w:rPr>
        <w:t xml:space="preserve">עובד בעל רכב שירות שיבטח את רכבו בחברת ביטוח </w:t>
      </w:r>
      <w:r w:rsidRPr="00341C3E">
        <w:rPr>
          <w:rFonts w:ascii="Times New Roman" w:hAnsi="Times New Roman" w:cs="David" w:hint="cs"/>
          <w:b/>
          <w:bCs/>
          <w:sz w:val="22"/>
          <w:szCs w:val="22"/>
          <w:u w:val="single"/>
          <w:rtl/>
        </w:rPr>
        <w:t>שלא</w:t>
      </w:r>
      <w:r w:rsidRPr="00341C3E">
        <w:rPr>
          <w:rFonts w:ascii="Times New Roman" w:hAnsi="Times New Roman" w:cs="David" w:hint="cs"/>
          <w:sz w:val="22"/>
          <w:szCs w:val="22"/>
          <w:rtl/>
        </w:rPr>
        <w:t xml:space="preserve">  זכתה במכרז יהא זכאי להשתתפות מופחתת. נכון לשנת 2006 התעריף של החברה, שזכתה במכרז בדגם המפורסם בחוברת מינוס 8%.</w:t>
      </w: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numPr>
          <w:ilvl w:val="1"/>
          <w:numId w:val="10"/>
        </w:numPr>
        <w:tabs>
          <w:tab w:val="left" w:pos="8083"/>
        </w:tabs>
        <w:jc w:val="both"/>
        <w:rPr>
          <w:rFonts w:ascii="Times New Roman" w:hAnsi="Times New Roman" w:cs="David"/>
          <w:sz w:val="22"/>
          <w:szCs w:val="22"/>
        </w:rPr>
      </w:pPr>
      <w:r w:rsidRPr="00341C3E">
        <w:rPr>
          <w:rFonts w:ascii="Times New Roman" w:hAnsi="Times New Roman" w:cs="David" w:hint="cs"/>
          <w:sz w:val="22"/>
          <w:szCs w:val="22"/>
          <w:rtl/>
        </w:rPr>
        <w:t>הת</w:t>
      </w:r>
      <w:r w:rsidRPr="00341C3E">
        <w:rPr>
          <w:rFonts w:ascii="Times New Roman" w:hAnsi="Times New Roman" w:cs="David"/>
          <w:sz w:val="22"/>
          <w:szCs w:val="22"/>
          <w:rtl/>
        </w:rPr>
        <w:t xml:space="preserve">נאים ויתר הכיסויים מתפרסמים בחוזרי החשכ"ל.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0"/>
          <w:numId w:val="10"/>
        </w:numPr>
        <w:tabs>
          <w:tab w:val="left" w:pos="8083"/>
        </w:tabs>
        <w:jc w:val="both"/>
        <w:rPr>
          <w:rFonts w:ascii="Times New Roman" w:hAnsi="Times New Roman" w:cs="David" w:hint="cs"/>
          <w:b/>
          <w:bCs/>
          <w:sz w:val="22"/>
          <w:szCs w:val="22"/>
          <w:u w:val="single"/>
        </w:rPr>
      </w:pPr>
      <w:r w:rsidRPr="00341C3E">
        <w:rPr>
          <w:rFonts w:ascii="Times New Roman" w:hAnsi="Times New Roman" w:cs="David" w:hint="cs"/>
          <w:b/>
          <w:bCs/>
          <w:sz w:val="22"/>
          <w:szCs w:val="22"/>
          <w:u w:val="single"/>
          <w:rtl/>
        </w:rPr>
        <w:t>ה</w:t>
      </w:r>
      <w:r w:rsidRPr="00341C3E">
        <w:rPr>
          <w:rFonts w:ascii="Times New Roman" w:hAnsi="Times New Roman" w:cs="David"/>
          <w:b/>
          <w:bCs/>
          <w:sz w:val="22"/>
          <w:szCs w:val="22"/>
          <w:u w:val="single"/>
          <w:rtl/>
        </w:rPr>
        <w:t>שתתפות המשרד באגרת רישוי</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10"/>
        </w:numPr>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השתתפות המשרד באגרת הרישוי לבעלי רכב שירות  תהא  עד  לתקרה  כפי  שהיא  מתעדכנת בחוזרי </w:t>
      </w:r>
      <w:r w:rsidRPr="00341C3E">
        <w:rPr>
          <w:rFonts w:ascii="Times New Roman" w:hAnsi="Times New Roman" w:cs="David" w:hint="cs"/>
          <w:sz w:val="22"/>
          <w:szCs w:val="22"/>
          <w:rtl/>
        </w:rPr>
        <w:t>החשכ"ל</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s>
        <w:jc w:val="both"/>
        <w:rPr>
          <w:rFonts w:ascii="Times New Roman" w:hAnsi="Times New Roman" w:cs="David" w:hint="cs"/>
          <w:sz w:val="22"/>
          <w:szCs w:val="22"/>
          <w:rtl/>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10"/>
        </w:numPr>
        <w:tabs>
          <w:tab w:val="left" w:pos="8083"/>
        </w:tabs>
        <w:jc w:val="both"/>
        <w:rPr>
          <w:rFonts w:ascii="Times New Roman" w:hAnsi="Times New Roman" w:cs="David" w:hint="cs"/>
          <w:sz w:val="22"/>
          <w:szCs w:val="22"/>
        </w:rPr>
      </w:pPr>
      <w:r w:rsidRPr="00341C3E">
        <w:rPr>
          <w:rFonts w:ascii="Times New Roman" w:hAnsi="Times New Roman" w:cs="David"/>
          <w:sz w:val="22"/>
          <w:szCs w:val="22"/>
          <w:rtl/>
        </w:rPr>
        <w:t>השתתפות בסכום אגרת הרישוי לבעלי רכב  שירות  עד  לסכומים  המרב</w:t>
      </w:r>
      <w:r w:rsidRPr="00341C3E">
        <w:rPr>
          <w:rFonts w:ascii="Times New Roman" w:hAnsi="Times New Roman" w:cs="David" w:hint="cs"/>
          <w:sz w:val="22"/>
          <w:szCs w:val="22"/>
          <w:rtl/>
        </w:rPr>
        <w:t>י</w:t>
      </w:r>
      <w:r w:rsidRPr="00341C3E">
        <w:rPr>
          <w:rFonts w:ascii="Times New Roman" w:hAnsi="Times New Roman" w:cs="David"/>
          <w:sz w:val="22"/>
          <w:szCs w:val="22"/>
          <w:rtl/>
        </w:rPr>
        <w:t xml:space="preserve">ים  למעט התוספת לאגרה עבור רשות השידור.       </w:t>
      </w:r>
    </w:p>
    <w:p w:rsidR="00ED5542" w:rsidRPr="00341C3E" w:rsidRDefault="00ED5542" w:rsidP="00ED5542">
      <w:pPr>
        <w:pStyle w:val="a3"/>
        <w:tabs>
          <w:tab w:val="left" w:pos="8083"/>
        </w:tabs>
        <w:jc w:val="both"/>
        <w:rPr>
          <w:rFonts w:ascii="Times New Roman" w:hAnsi="Times New Roman" w:cs="David" w:hint="cs"/>
          <w:sz w:val="22"/>
          <w:szCs w:val="22"/>
          <w:rtl/>
        </w:rPr>
      </w:pPr>
      <w:r w:rsidRPr="00341C3E">
        <w:rPr>
          <w:rFonts w:ascii="Times New Roman" w:hAnsi="Times New Roman" w:cs="David"/>
          <w:sz w:val="22"/>
          <w:szCs w:val="22"/>
          <w:rtl/>
        </w:rPr>
        <w:br w:type="page"/>
      </w:r>
    </w:p>
    <w:p w:rsidR="00ED5542" w:rsidRPr="00341C3E" w:rsidRDefault="00ED5542" w:rsidP="00ED5542">
      <w:pPr>
        <w:pStyle w:val="a3"/>
        <w:numPr>
          <w:ilvl w:val="0"/>
          <w:numId w:val="10"/>
        </w:numPr>
        <w:tabs>
          <w:tab w:val="left" w:pos="8083"/>
        </w:tabs>
        <w:jc w:val="both"/>
        <w:rPr>
          <w:rFonts w:ascii="Times New Roman" w:hAnsi="Times New Roman" w:cs="David"/>
          <w:b/>
          <w:bCs/>
          <w:sz w:val="22"/>
          <w:szCs w:val="22"/>
          <w:u w:val="single"/>
        </w:rPr>
      </w:pPr>
      <w:r w:rsidRPr="00341C3E">
        <w:rPr>
          <w:rFonts w:ascii="Times New Roman" w:hAnsi="Times New Roman" w:cs="David"/>
          <w:b/>
          <w:bCs/>
          <w:sz w:val="22"/>
          <w:szCs w:val="22"/>
          <w:u w:val="single"/>
          <w:rtl/>
        </w:rPr>
        <w:t>אגרת רישוי וביטוח לבעל רכב שירות שפרש לגמלאות או נפט</w:t>
      </w:r>
      <w:r w:rsidRPr="00341C3E">
        <w:rPr>
          <w:rFonts w:ascii="Times New Roman" w:hAnsi="Times New Roman" w:cs="David" w:hint="cs"/>
          <w:b/>
          <w:bCs/>
          <w:sz w:val="22"/>
          <w:szCs w:val="22"/>
          <w:u w:val="single"/>
          <w:rtl/>
        </w:rPr>
        <w:t>ר</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1"/>
          <w:numId w:val="10"/>
        </w:numPr>
        <w:tabs>
          <w:tab w:val="left" w:pos="8083"/>
        </w:tabs>
        <w:jc w:val="both"/>
        <w:rPr>
          <w:rFonts w:ascii="Times New Roman" w:hAnsi="Times New Roman" w:cs="David"/>
          <w:sz w:val="22"/>
          <w:szCs w:val="22"/>
        </w:rPr>
      </w:pPr>
      <w:r w:rsidRPr="00341C3E">
        <w:rPr>
          <w:rFonts w:ascii="Times New Roman" w:hAnsi="Times New Roman" w:cs="David"/>
          <w:sz w:val="22"/>
          <w:szCs w:val="22"/>
          <w:rtl/>
        </w:rPr>
        <w:t>אין לגבות את החלק היחסי  של  השתתפות  הממשלה  בהוצאות  הקבועות  (ביטוח</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ורישוי) של עובד שפרש לגמלאות או נפטר, בעד התקופה מתאריך הפרישה</w:t>
      </w:r>
      <w:r w:rsidRPr="00341C3E">
        <w:rPr>
          <w:rFonts w:ascii="Times New Roman" w:hAnsi="Times New Roman" w:cs="David" w:hint="cs"/>
          <w:sz w:val="22"/>
          <w:szCs w:val="22"/>
          <w:rtl/>
        </w:rPr>
        <w:t>/הפטירה</w:t>
      </w:r>
      <w:r w:rsidRPr="00341C3E">
        <w:rPr>
          <w:rFonts w:ascii="Times New Roman" w:hAnsi="Times New Roman" w:cs="David"/>
          <w:sz w:val="22"/>
          <w:szCs w:val="22"/>
          <w:rtl/>
        </w:rPr>
        <w:t xml:space="preserve"> </w:t>
      </w:r>
      <w:r w:rsidRPr="00341C3E">
        <w:rPr>
          <w:rFonts w:ascii="Times New Roman" w:hAnsi="Times New Roman" w:cs="David" w:hint="cs"/>
          <w:sz w:val="22"/>
          <w:szCs w:val="22"/>
          <w:rtl/>
        </w:rPr>
        <w:t>ו</w:t>
      </w:r>
      <w:r w:rsidRPr="00341C3E">
        <w:rPr>
          <w:rFonts w:ascii="Times New Roman" w:hAnsi="Times New Roman" w:cs="David"/>
          <w:sz w:val="22"/>
          <w:szCs w:val="22"/>
          <w:rtl/>
        </w:rPr>
        <w:t>עד  תום</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השנה התקציבית.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tabs>
          <w:tab w:val="left" w:pos="8083"/>
        </w:tabs>
        <w:jc w:val="both"/>
        <w:rPr>
          <w:rFonts w:ascii="Times New Roman" w:hAnsi="Times New Roman" w:cs="David" w:hint="cs"/>
          <w:sz w:val="22"/>
          <w:szCs w:val="22"/>
        </w:rPr>
      </w:pPr>
    </w:p>
    <w:p w:rsidR="00ED5542" w:rsidRPr="00341C3E" w:rsidRDefault="00ED5542" w:rsidP="00ED5542">
      <w:pPr>
        <w:pStyle w:val="Sign"/>
        <w:tabs>
          <w:tab w:val="left" w:pos="4627"/>
          <w:tab w:val="left" w:pos="8083"/>
        </w:tabs>
        <w:ind w:left="5528"/>
        <w:jc w:val="both"/>
        <w:rPr>
          <w:rFonts w:cs="David" w:hint="cs"/>
          <w:sz w:val="22"/>
          <w:szCs w:val="22"/>
          <w:rtl/>
          <w:lang w:eastAsia="en-US"/>
        </w:rPr>
      </w:pPr>
      <w:r w:rsidRPr="00341C3E">
        <w:rPr>
          <w:rFonts w:cs="David" w:hint="cs"/>
          <w:sz w:val="22"/>
          <w:szCs w:val="22"/>
          <w:rtl/>
          <w:lang w:eastAsia="en-US"/>
        </w:rPr>
        <w:t>ב</w:t>
      </w:r>
      <w:r w:rsidRPr="00341C3E">
        <w:rPr>
          <w:rFonts w:cs="David"/>
          <w:sz w:val="22"/>
          <w:szCs w:val="22"/>
          <w:rtl/>
          <w:lang w:eastAsia="en-US"/>
        </w:rPr>
        <w:t xml:space="preserve"> ב ר כ ה,</w:t>
      </w:r>
    </w:p>
    <w:p w:rsidR="00ED5542" w:rsidRPr="00341C3E" w:rsidRDefault="003D7647" w:rsidP="00ED5542">
      <w:pPr>
        <w:pStyle w:val="Sign"/>
        <w:tabs>
          <w:tab w:val="left" w:pos="4627"/>
          <w:tab w:val="left" w:pos="8083"/>
        </w:tabs>
        <w:ind w:left="5528"/>
        <w:jc w:val="both"/>
        <w:rPr>
          <w:rFonts w:cs="David" w:hint="cs"/>
          <w:sz w:val="22"/>
          <w:szCs w:val="22"/>
          <w:rtl/>
          <w:lang w:eastAsia="en-US"/>
        </w:rPr>
      </w:pPr>
      <w:r>
        <w:rPr>
          <w:rFonts w:cs="David" w:hint="cs"/>
          <w:noProof/>
          <w:sz w:val="22"/>
          <w:szCs w:val="22"/>
          <w:rtl/>
          <w:lang w:eastAsia="en-US"/>
        </w:rPr>
        <w:drawing>
          <wp:inline distT="0" distB="0" distL="0" distR="0">
            <wp:extent cx="866775" cy="552450"/>
            <wp:effectExtent l="19050" t="0" r="9525" b="0"/>
            <wp:docPr id="2" name="תמונה 2" descr="אילן לוי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אילן לוין"/>
                    <pic:cNvPicPr>
                      <a:picLocks noChangeAspect="1" noChangeArrowheads="1"/>
                    </pic:cNvPicPr>
                  </pic:nvPicPr>
                  <pic:blipFill>
                    <a:blip r:embed="rId10" cstate="print"/>
                    <a:srcRect/>
                    <a:stretch>
                      <a:fillRect/>
                    </a:stretch>
                  </pic:blipFill>
                  <pic:spPr bwMode="auto">
                    <a:xfrm>
                      <a:off x="0" y="0"/>
                      <a:ext cx="866775" cy="552450"/>
                    </a:xfrm>
                    <a:prstGeom prst="rect">
                      <a:avLst/>
                    </a:prstGeom>
                    <a:noFill/>
                    <a:ln w="9525">
                      <a:noFill/>
                      <a:miter lim="800000"/>
                      <a:headEnd/>
                      <a:tailEnd/>
                    </a:ln>
                  </pic:spPr>
                </pic:pic>
              </a:graphicData>
            </a:graphic>
          </wp:inline>
        </w:drawing>
      </w:r>
    </w:p>
    <w:p w:rsidR="00ED5542" w:rsidRPr="00341C3E" w:rsidRDefault="00ED5542" w:rsidP="00ED5542">
      <w:pPr>
        <w:pStyle w:val="Sign"/>
        <w:tabs>
          <w:tab w:val="left" w:pos="4627"/>
          <w:tab w:val="left" w:pos="8083"/>
        </w:tabs>
        <w:ind w:left="5528"/>
        <w:jc w:val="both"/>
        <w:rPr>
          <w:rFonts w:cs="David" w:hint="cs"/>
          <w:sz w:val="22"/>
          <w:szCs w:val="22"/>
          <w:rtl/>
          <w:lang w:eastAsia="en-US"/>
        </w:rPr>
      </w:pPr>
    </w:p>
    <w:p w:rsidR="00ED5542" w:rsidRPr="00341C3E" w:rsidRDefault="00ED5542" w:rsidP="00ED5542">
      <w:pPr>
        <w:pStyle w:val="Sign"/>
        <w:tabs>
          <w:tab w:val="decimal" w:pos="4820"/>
          <w:tab w:val="left" w:pos="8083"/>
        </w:tabs>
        <w:ind w:left="5103" w:firstLine="425"/>
        <w:jc w:val="both"/>
        <w:rPr>
          <w:rFonts w:cs="David"/>
          <w:sz w:val="22"/>
          <w:szCs w:val="22"/>
          <w:rtl/>
          <w:lang w:eastAsia="en-US"/>
        </w:rPr>
      </w:pPr>
      <w:bookmarkStart w:id="62" w:name="Adding03"/>
      <w:bookmarkEnd w:id="62"/>
      <w:r w:rsidRPr="00341C3E">
        <w:rPr>
          <w:rFonts w:cs="David"/>
          <w:sz w:val="22"/>
          <w:szCs w:val="22"/>
          <w:rtl/>
          <w:lang w:eastAsia="en-US"/>
        </w:rPr>
        <w:t>אילן לוין</w:t>
      </w:r>
      <w:r w:rsidRPr="00341C3E">
        <w:rPr>
          <w:rFonts w:cs="David"/>
          <w:sz w:val="22"/>
          <w:szCs w:val="22"/>
          <w:rtl/>
          <w:lang w:eastAsia="en-US"/>
        </w:rPr>
        <w:br/>
        <w:t>סגן בכיר לחשב הכללי</w:t>
      </w:r>
    </w:p>
    <w:p w:rsidR="00ED5542" w:rsidRPr="00341C3E" w:rsidRDefault="00ED5542" w:rsidP="00ED5542">
      <w:pPr>
        <w:pStyle w:val="Sign"/>
        <w:tabs>
          <w:tab w:val="decimal" w:pos="4820"/>
          <w:tab w:val="left" w:pos="8083"/>
        </w:tabs>
        <w:ind w:left="5103" w:firstLine="425"/>
        <w:jc w:val="both"/>
        <w:rPr>
          <w:rFonts w:cs="David" w:hint="cs"/>
          <w:sz w:val="22"/>
          <w:szCs w:val="22"/>
          <w:rtl/>
          <w:lang w:eastAsia="en-US"/>
        </w:rPr>
      </w:pPr>
    </w:p>
    <w:p w:rsidR="00ED5542" w:rsidRPr="00341C3E" w:rsidRDefault="00ED5542" w:rsidP="00ED5542">
      <w:pPr>
        <w:pStyle w:val="Sign"/>
        <w:tabs>
          <w:tab w:val="decimal" w:pos="4820"/>
          <w:tab w:val="left" w:pos="8083"/>
        </w:tabs>
        <w:ind w:left="5103" w:firstLine="425"/>
        <w:jc w:val="both"/>
        <w:rPr>
          <w:rFonts w:cs="David" w:hint="cs"/>
          <w:sz w:val="22"/>
          <w:szCs w:val="22"/>
          <w:rtl/>
          <w:lang w:eastAsia="en-US"/>
        </w:rPr>
      </w:pPr>
    </w:p>
    <w:p w:rsidR="00ED5542" w:rsidRPr="00341C3E" w:rsidRDefault="00ED5542" w:rsidP="00ED5542">
      <w:pPr>
        <w:pStyle w:val="Sign"/>
        <w:tabs>
          <w:tab w:val="decimal" w:pos="4820"/>
          <w:tab w:val="left" w:pos="8083"/>
        </w:tabs>
        <w:ind w:left="5103" w:firstLine="425"/>
        <w:jc w:val="both"/>
        <w:rPr>
          <w:rFonts w:cs="David" w:hint="cs"/>
          <w:sz w:val="22"/>
          <w:szCs w:val="22"/>
          <w:rtl/>
          <w:lang w:eastAsia="en-US"/>
        </w:rPr>
      </w:pPr>
    </w:p>
    <w:p w:rsidR="00ED5542" w:rsidRPr="00341C3E" w:rsidRDefault="00ED5542" w:rsidP="00ED5542">
      <w:pPr>
        <w:pStyle w:val="Sign"/>
        <w:tabs>
          <w:tab w:val="decimal" w:pos="4820"/>
          <w:tab w:val="left" w:pos="8083"/>
        </w:tabs>
        <w:ind w:left="5103" w:firstLine="425"/>
        <w:jc w:val="both"/>
        <w:rPr>
          <w:rFonts w:cs="David" w:hint="cs"/>
          <w:sz w:val="22"/>
          <w:szCs w:val="22"/>
          <w:rtl/>
          <w:lang w:eastAsia="en-US"/>
        </w:rPr>
      </w:pPr>
    </w:p>
    <w:p w:rsidR="00ED5542" w:rsidRPr="00341C3E" w:rsidRDefault="00ED5542" w:rsidP="00ED5542">
      <w:pPr>
        <w:pStyle w:val="Sign"/>
        <w:tabs>
          <w:tab w:val="decimal" w:pos="4820"/>
          <w:tab w:val="left" w:pos="8083"/>
        </w:tabs>
        <w:ind w:left="5103" w:firstLine="425"/>
        <w:jc w:val="both"/>
        <w:rPr>
          <w:rFonts w:cs="David" w:hint="cs"/>
          <w:sz w:val="22"/>
          <w:szCs w:val="22"/>
          <w:rtl/>
          <w:lang w:eastAsia="en-US"/>
        </w:rPr>
      </w:pP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tabs>
          <w:tab w:val="left" w:pos="8083"/>
        </w:tabs>
        <w:ind w:left="709" w:hanging="709"/>
        <w:jc w:val="both"/>
        <w:rPr>
          <w:rFonts w:ascii="Times New Roman" w:hAnsi="Times New Roman" w:cs="David" w:hint="cs"/>
          <w:sz w:val="22"/>
          <w:szCs w:val="22"/>
          <w:rtl/>
        </w:rPr>
      </w:pPr>
      <w:r w:rsidRPr="00341C3E">
        <w:rPr>
          <w:rFonts w:ascii="Times New Roman" w:hAnsi="Times New Roman" w:cs="David"/>
          <w:sz w:val="22"/>
          <w:szCs w:val="22"/>
          <w:rtl/>
        </w:rPr>
        <w:t>העתק:</w:t>
      </w:r>
      <w:r w:rsidRPr="00341C3E">
        <w:rPr>
          <w:rFonts w:ascii="Times New Roman" w:hAnsi="Times New Roman" w:cs="David" w:hint="cs"/>
          <w:sz w:val="22"/>
          <w:szCs w:val="22"/>
          <w:rtl/>
        </w:rPr>
        <w:t xml:space="preserve">  הנהלת החשב הכללי, משרד האוצר </w:t>
      </w:r>
    </w:p>
    <w:p w:rsidR="00ED5542" w:rsidRPr="00341C3E" w:rsidRDefault="00ED5542" w:rsidP="00ED5542">
      <w:pPr>
        <w:pStyle w:val="a3"/>
        <w:tabs>
          <w:tab w:val="left" w:pos="8083"/>
        </w:tabs>
        <w:ind w:left="709" w:hanging="709"/>
        <w:jc w:val="both"/>
        <w:rPr>
          <w:rFonts w:ascii="Times New Roman" w:hAnsi="Times New Roman" w:cs="David"/>
          <w:sz w:val="22"/>
          <w:szCs w:val="22"/>
        </w:rPr>
      </w:pPr>
      <w:r w:rsidRPr="00341C3E">
        <w:rPr>
          <w:rFonts w:ascii="Times New Roman" w:hAnsi="Times New Roman" w:cs="David" w:hint="cs"/>
          <w:sz w:val="22"/>
          <w:szCs w:val="22"/>
          <w:rtl/>
        </w:rPr>
        <w:t xml:space="preserve">            </w:t>
      </w:r>
      <w:r w:rsidRPr="00341C3E">
        <w:rPr>
          <w:rFonts w:ascii="Times New Roman" w:hAnsi="Times New Roman" w:cs="David"/>
          <w:sz w:val="22"/>
          <w:szCs w:val="22"/>
          <w:rtl/>
        </w:rPr>
        <w:t>נציבות שירות המדינה</w:t>
      </w:r>
      <w:r w:rsidRPr="00341C3E">
        <w:rPr>
          <w:rFonts w:ascii="Times New Roman" w:hAnsi="Times New Roman" w:cs="David" w:hint="cs"/>
          <w:sz w:val="22"/>
          <w:szCs w:val="22"/>
          <w:rtl/>
        </w:rPr>
        <w:t>, משרד האוצר</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s>
        <w:jc w:val="both"/>
        <w:rPr>
          <w:rFonts w:ascii="Times New Roman" w:hAnsi="Times New Roman" w:cs="David" w:hint="cs"/>
          <w:sz w:val="22"/>
          <w:szCs w:val="22"/>
          <w:rtl/>
        </w:rPr>
      </w:pPr>
      <w:r w:rsidRPr="00341C3E">
        <w:rPr>
          <w:rFonts w:ascii="Times New Roman" w:hAnsi="Times New Roman" w:cs="David"/>
          <w:sz w:val="22"/>
          <w:szCs w:val="22"/>
          <w:rtl/>
        </w:rPr>
        <w:t xml:space="preserve">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הממונה על השכר והסכמי עבודה, משרד האוצר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hint="cs"/>
          <w:sz w:val="22"/>
          <w:szCs w:val="22"/>
          <w:rtl/>
        </w:rPr>
        <w:t xml:space="preserve">            סמנכ"לים</w:t>
      </w:r>
      <w:r w:rsidRPr="00341C3E">
        <w:rPr>
          <w:rFonts w:ascii="Times New Roman" w:hAnsi="Times New Roman" w:cs="David"/>
          <w:sz w:val="22"/>
          <w:szCs w:val="22"/>
          <w:rtl/>
        </w:rPr>
        <w:t xml:space="preserve"> </w:t>
      </w:r>
      <w:r w:rsidRPr="00341C3E">
        <w:rPr>
          <w:rFonts w:ascii="Times New Roman" w:hAnsi="Times New Roman" w:cs="David" w:hint="cs"/>
          <w:sz w:val="22"/>
          <w:szCs w:val="22"/>
          <w:rtl/>
        </w:rPr>
        <w:t>למינהל במשרדי הממשלה</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מנהלי מחלקות משכו</w:t>
      </w:r>
      <w:r w:rsidRPr="00341C3E">
        <w:rPr>
          <w:rFonts w:ascii="Times New Roman" w:hAnsi="Times New Roman" w:cs="David" w:hint="cs"/>
          <w:sz w:val="22"/>
          <w:szCs w:val="22"/>
          <w:rtl/>
        </w:rPr>
        <w:t>רת</w:t>
      </w:r>
      <w:r w:rsidRPr="00341C3E">
        <w:rPr>
          <w:rFonts w:ascii="Times New Roman" w:hAnsi="Times New Roman" w:cs="David"/>
          <w:sz w:val="22"/>
          <w:szCs w:val="22"/>
          <w:rtl/>
        </w:rPr>
        <w:t xml:space="preserve">          </w:t>
      </w:r>
    </w:p>
    <w:p w:rsidR="00ED5542" w:rsidRPr="00341C3E" w:rsidRDefault="00ED5542" w:rsidP="00ED5542">
      <w:pPr>
        <w:pStyle w:val="a3"/>
        <w:tabs>
          <w:tab w:val="left" w:pos="8083"/>
        </w:tabs>
        <w:spacing w:line="360" w:lineRule="auto"/>
        <w:jc w:val="center"/>
        <w:rPr>
          <w:rFonts w:ascii="Times New Roman" w:hAnsi="Times New Roman" w:cs="David" w:hint="cs"/>
          <w:sz w:val="22"/>
          <w:szCs w:val="22"/>
          <w:u w:val="single"/>
        </w:rPr>
      </w:pPr>
      <w:r w:rsidRPr="00341C3E">
        <w:rPr>
          <w:rFonts w:ascii="Times New Roman" w:hAnsi="Times New Roman" w:cs="David"/>
          <w:sz w:val="22"/>
          <w:szCs w:val="22"/>
          <w:rtl/>
        </w:rPr>
        <w:br w:type="page"/>
      </w:r>
      <w:r w:rsidRPr="00341C3E">
        <w:rPr>
          <w:rFonts w:ascii="Times New Roman" w:hAnsi="Times New Roman" w:cs="David"/>
          <w:b/>
          <w:bCs/>
          <w:sz w:val="22"/>
          <w:szCs w:val="22"/>
          <w:rtl/>
        </w:rPr>
        <w:lastRenderedPageBreak/>
        <w:t xml:space="preserve"> </w:t>
      </w:r>
      <w:r w:rsidRPr="00341C3E">
        <w:rPr>
          <w:rFonts w:ascii="Times New Roman" w:hAnsi="Times New Roman" w:cs="David" w:hint="cs"/>
          <w:b/>
          <w:bCs/>
          <w:sz w:val="22"/>
          <w:szCs w:val="22"/>
          <w:u w:val="single"/>
          <w:rtl/>
        </w:rPr>
        <w:t>טופס הצהרה לעובד המקבל לראשונה תקן רכב</w:t>
      </w:r>
      <w:r w:rsidRPr="00341C3E">
        <w:rPr>
          <w:rFonts w:ascii="Times New Roman" w:hAnsi="Times New Roman" w:cs="David" w:hint="cs"/>
          <w:sz w:val="22"/>
          <w:szCs w:val="22"/>
          <w:u w:val="single"/>
          <w:rtl/>
        </w:rPr>
        <w:t>.</w:t>
      </w:r>
    </w:p>
    <w:p w:rsidR="00ED5542" w:rsidRPr="00341C3E" w:rsidRDefault="00ED5542" w:rsidP="00ED5542">
      <w:pPr>
        <w:pStyle w:val="a3"/>
        <w:tabs>
          <w:tab w:val="left" w:pos="8083"/>
        </w:tabs>
        <w:spacing w:line="360" w:lineRule="auto"/>
        <w:jc w:val="both"/>
        <w:rPr>
          <w:rFonts w:ascii="Times New Roman" w:hAnsi="Times New Roman" w:cs="David"/>
          <w:sz w:val="22"/>
          <w:szCs w:val="22"/>
        </w:rPr>
      </w:pPr>
      <w:r w:rsidRPr="00341C3E">
        <w:rPr>
          <w:rFonts w:ascii="Times New Roman" w:hAnsi="Times New Roman" w:cs="David"/>
          <w:sz w:val="22"/>
          <w:szCs w:val="22"/>
          <w:rtl/>
        </w:rPr>
        <w:t xml:space="preserve">אל: חשב </w:t>
      </w:r>
      <w:r w:rsidRPr="00341C3E">
        <w:rPr>
          <w:rFonts w:ascii="Times New Roman" w:hAnsi="Times New Roman" w:cs="David" w:hint="cs"/>
          <w:sz w:val="22"/>
          <w:szCs w:val="22"/>
          <w:rtl/>
        </w:rPr>
        <w:t>ה</w:t>
      </w:r>
      <w:r w:rsidRPr="00341C3E">
        <w:rPr>
          <w:rFonts w:ascii="Times New Roman" w:hAnsi="Times New Roman" w:cs="David"/>
          <w:sz w:val="22"/>
          <w:szCs w:val="22"/>
          <w:rtl/>
        </w:rPr>
        <w:t xml:space="preserve">משרד                                                                </w:t>
      </w:r>
    </w:p>
    <w:p w:rsidR="00ED5542" w:rsidRPr="00341C3E" w:rsidRDefault="00ED5542" w:rsidP="00ED5542">
      <w:pPr>
        <w:pStyle w:val="a3"/>
        <w:tabs>
          <w:tab w:val="left" w:pos="8083"/>
        </w:tabs>
        <w:jc w:val="both"/>
        <w:rPr>
          <w:rFonts w:ascii="Times New Roman" w:hAnsi="Times New Roman" w:cs="David" w:hint="cs"/>
          <w:sz w:val="22"/>
          <w:szCs w:val="22"/>
          <w:rtl/>
        </w:rPr>
      </w:pPr>
      <w:r w:rsidRPr="00341C3E">
        <w:rPr>
          <w:rFonts w:ascii="Times New Roman" w:hAnsi="Times New Roman" w:cs="David"/>
          <w:sz w:val="22"/>
          <w:szCs w:val="22"/>
          <w:rtl/>
        </w:rPr>
        <w:t xml:space="preserve">                </w:t>
      </w:r>
    </w:p>
    <w:p w:rsidR="00ED5542" w:rsidRPr="00341C3E" w:rsidRDefault="00ED5542" w:rsidP="00ED5542">
      <w:pPr>
        <w:pStyle w:val="a3"/>
        <w:numPr>
          <w:ilvl w:val="0"/>
          <w:numId w:val="11"/>
        </w:numPr>
        <w:tabs>
          <w:tab w:val="left" w:pos="8083"/>
        </w:tabs>
        <w:jc w:val="both"/>
        <w:rPr>
          <w:rFonts w:ascii="Times New Roman" w:hAnsi="Times New Roman" w:cs="David" w:hint="cs"/>
          <w:sz w:val="22"/>
          <w:szCs w:val="22"/>
        </w:rPr>
      </w:pPr>
      <w:r w:rsidRPr="00341C3E">
        <w:rPr>
          <w:rFonts w:ascii="Times New Roman" w:hAnsi="Times New Roman" w:cs="David" w:hint="cs"/>
          <w:sz w:val="22"/>
          <w:szCs w:val="22"/>
          <w:rtl/>
        </w:rPr>
        <w:t>הננ</w:t>
      </w:r>
      <w:r w:rsidRPr="00341C3E">
        <w:rPr>
          <w:rFonts w:ascii="Times New Roman" w:hAnsi="Times New Roman" w:cs="David"/>
          <w:sz w:val="22"/>
          <w:szCs w:val="22"/>
          <w:rtl/>
        </w:rPr>
        <w:t>י מצהיר בזאת</w:t>
      </w:r>
      <w:r w:rsidRPr="00341C3E">
        <w:rPr>
          <w:rFonts w:ascii="Times New Roman" w:hAnsi="Times New Roman" w:cs="David" w:hint="cs"/>
          <w:sz w:val="22"/>
          <w:szCs w:val="22"/>
          <w:rtl/>
        </w:rPr>
        <w:t>,</w:t>
      </w:r>
      <w:r w:rsidRPr="00341C3E">
        <w:rPr>
          <w:rFonts w:ascii="Times New Roman" w:hAnsi="Times New Roman" w:cs="David"/>
          <w:sz w:val="22"/>
          <w:szCs w:val="22"/>
          <w:rtl/>
        </w:rPr>
        <w:t xml:space="preserve"> כי</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במסגרת רמת הניידות שאושרה לי אבצע את כל הנסיעות שאהיה חייב לבצע במסגרת תפקידי, בכל אמצעי תחבורה הולם - בין אם ברכבי הפרטי ובין אם באמצעי תחבורה אחר.</w:t>
      </w:r>
    </w:p>
    <w:p w:rsidR="00ED5542" w:rsidRPr="00341C3E" w:rsidRDefault="00ED5542" w:rsidP="00ED5542">
      <w:pPr>
        <w:pStyle w:val="a3"/>
        <w:tabs>
          <w:tab w:val="left" w:pos="8083"/>
        </w:tabs>
        <w:ind w:left="720"/>
        <w:jc w:val="both"/>
        <w:rPr>
          <w:rFonts w:ascii="Times New Roman" w:hAnsi="Times New Roman" w:cs="David" w:hint="cs"/>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0"/>
          <w:numId w:val="11"/>
        </w:numPr>
        <w:tabs>
          <w:tab w:val="left" w:pos="8083"/>
        </w:tabs>
        <w:jc w:val="both"/>
        <w:rPr>
          <w:rFonts w:ascii="Times New Roman" w:hAnsi="Times New Roman" w:cs="David" w:hint="cs"/>
          <w:sz w:val="22"/>
          <w:szCs w:val="22"/>
        </w:rPr>
      </w:pPr>
      <w:r w:rsidRPr="00341C3E">
        <w:rPr>
          <w:rFonts w:ascii="Times New Roman" w:hAnsi="Times New Roman" w:cs="David" w:hint="cs"/>
          <w:sz w:val="22"/>
          <w:szCs w:val="22"/>
          <w:rtl/>
        </w:rPr>
        <w:t>ידוע</w:t>
      </w:r>
      <w:r w:rsidRPr="00341C3E">
        <w:rPr>
          <w:rFonts w:ascii="Times New Roman" w:hAnsi="Times New Roman" w:cs="David"/>
          <w:sz w:val="22"/>
          <w:szCs w:val="22"/>
          <w:rtl/>
        </w:rPr>
        <w:t xml:space="preserve"> לי, כי מכסת הניידות שנקבעה לי הינה לפי צורכי העבודה, והיא עשויה להשתנות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בהתאם </w:t>
      </w:r>
      <w:r w:rsidRPr="00341C3E">
        <w:rPr>
          <w:rFonts w:ascii="Times New Roman" w:hAnsi="Times New Roman" w:cs="David" w:hint="cs"/>
          <w:sz w:val="22"/>
          <w:szCs w:val="22"/>
          <w:rtl/>
        </w:rPr>
        <w:t xml:space="preserve"> ל</w:t>
      </w:r>
      <w:r w:rsidRPr="00341C3E">
        <w:rPr>
          <w:rFonts w:ascii="Times New Roman" w:hAnsi="Times New Roman" w:cs="David"/>
          <w:sz w:val="22"/>
          <w:szCs w:val="22"/>
          <w:rtl/>
        </w:rPr>
        <w:t xml:space="preserve">צרכים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ולפי שיקול דעת ההנהלה. </w:t>
      </w:r>
    </w:p>
    <w:p w:rsidR="00ED5542" w:rsidRPr="00341C3E" w:rsidRDefault="00ED5542" w:rsidP="00ED5542">
      <w:pPr>
        <w:pStyle w:val="a3"/>
        <w:tabs>
          <w:tab w:val="left" w:pos="8083"/>
        </w:tabs>
        <w:ind w:left="720"/>
        <w:jc w:val="both"/>
        <w:rPr>
          <w:rFonts w:ascii="Times New Roman" w:hAnsi="Times New Roman" w:cs="David" w:hint="cs"/>
          <w:sz w:val="22"/>
          <w:szCs w:val="22"/>
        </w:rPr>
      </w:pPr>
      <w:r w:rsidRPr="00341C3E">
        <w:rPr>
          <w:rFonts w:ascii="Times New Roman" w:hAnsi="Times New Roman" w:cs="David"/>
          <w:sz w:val="22"/>
          <w:szCs w:val="22"/>
          <w:rtl/>
        </w:rPr>
        <w:t xml:space="preserve">   </w:t>
      </w:r>
    </w:p>
    <w:p w:rsidR="00ED5542" w:rsidRPr="00341C3E" w:rsidRDefault="00ED5542" w:rsidP="00ED5542">
      <w:pPr>
        <w:pStyle w:val="a3"/>
        <w:numPr>
          <w:ilvl w:val="0"/>
          <w:numId w:val="11"/>
        </w:numPr>
        <w:tabs>
          <w:tab w:val="left" w:pos="8083"/>
        </w:tabs>
        <w:spacing w:line="360" w:lineRule="auto"/>
        <w:jc w:val="both"/>
        <w:rPr>
          <w:rFonts w:ascii="Times New Roman" w:hAnsi="Times New Roman" w:cs="David" w:hint="cs"/>
          <w:sz w:val="22"/>
          <w:szCs w:val="22"/>
        </w:rPr>
      </w:pPr>
      <w:r w:rsidRPr="00341C3E">
        <w:rPr>
          <w:rFonts w:ascii="Times New Roman" w:hAnsi="Times New Roman" w:cs="David" w:hint="cs"/>
          <w:sz w:val="22"/>
          <w:szCs w:val="22"/>
          <w:rtl/>
        </w:rPr>
        <w:t xml:space="preserve">בבעלותי </w:t>
      </w:r>
      <w:r w:rsidRPr="00341C3E">
        <w:rPr>
          <w:rFonts w:ascii="Times New Roman" w:hAnsi="Times New Roman" w:cs="David"/>
          <w:sz w:val="22"/>
          <w:szCs w:val="22"/>
          <w:rtl/>
        </w:rPr>
        <w:t xml:space="preserve"> המלאה (או בבעלות בן זוגי) רכ</w:t>
      </w:r>
      <w:r w:rsidRPr="00341C3E">
        <w:rPr>
          <w:rFonts w:ascii="Times New Roman" w:hAnsi="Times New Roman" w:cs="David" w:hint="cs"/>
          <w:sz w:val="22"/>
          <w:szCs w:val="22"/>
          <w:rtl/>
        </w:rPr>
        <w:t>ב</w:t>
      </w:r>
      <w:r w:rsidRPr="00341C3E">
        <w:rPr>
          <w:rFonts w:ascii="Times New Roman" w:hAnsi="Times New Roman" w:cs="David"/>
          <w:sz w:val="22"/>
          <w:szCs w:val="22"/>
          <w:rtl/>
        </w:rPr>
        <w:t xml:space="preserve"> מס'</w:t>
      </w:r>
      <w:r w:rsidRPr="00341C3E">
        <w:rPr>
          <w:rFonts w:ascii="Times New Roman" w:hAnsi="Times New Roman" w:cs="David" w:hint="cs"/>
          <w:sz w:val="22"/>
          <w:szCs w:val="22"/>
          <w:rtl/>
        </w:rPr>
        <w:t xml:space="preserve">  _____________________</w:t>
      </w:r>
    </w:p>
    <w:p w:rsidR="00ED5542" w:rsidRPr="00341C3E" w:rsidRDefault="00ED5542" w:rsidP="00ED5542">
      <w:pPr>
        <w:pStyle w:val="a3"/>
        <w:tabs>
          <w:tab w:val="left" w:pos="8083"/>
        </w:tabs>
        <w:spacing w:line="360" w:lineRule="auto"/>
        <w:ind w:left="1440"/>
        <w:jc w:val="both"/>
        <w:rPr>
          <w:rFonts w:ascii="Times New Roman" w:hAnsi="Times New Roman" w:cs="David" w:hint="cs"/>
          <w:sz w:val="22"/>
          <w:szCs w:val="22"/>
          <w:rtl/>
        </w:rPr>
      </w:pPr>
      <w:r w:rsidRPr="00341C3E">
        <w:rPr>
          <w:rFonts w:ascii="Times New Roman" w:hAnsi="Times New Roman" w:cs="David" w:hint="cs"/>
          <w:sz w:val="22"/>
          <w:szCs w:val="22"/>
          <w:rtl/>
        </w:rPr>
        <w:t>ש</w:t>
      </w:r>
      <w:r w:rsidRPr="00341C3E">
        <w:rPr>
          <w:rFonts w:ascii="Times New Roman" w:hAnsi="Times New Roman" w:cs="David"/>
          <w:sz w:val="22"/>
          <w:szCs w:val="22"/>
          <w:rtl/>
        </w:rPr>
        <w:t>ם הבעלים המופיעים ע</w:t>
      </w:r>
      <w:r w:rsidRPr="00341C3E">
        <w:rPr>
          <w:rFonts w:ascii="Times New Roman" w:hAnsi="Times New Roman" w:cs="David" w:hint="cs"/>
          <w:sz w:val="22"/>
          <w:szCs w:val="22"/>
          <w:rtl/>
        </w:rPr>
        <w:t>ל-</w:t>
      </w:r>
      <w:r w:rsidRPr="00341C3E">
        <w:rPr>
          <w:rFonts w:ascii="Times New Roman" w:hAnsi="Times New Roman" w:cs="David"/>
          <w:sz w:val="22"/>
          <w:szCs w:val="22"/>
          <w:rtl/>
        </w:rPr>
        <w:t>ג</w:t>
      </w:r>
      <w:r w:rsidRPr="00341C3E">
        <w:rPr>
          <w:rFonts w:ascii="Times New Roman" w:hAnsi="Times New Roman" w:cs="David" w:hint="cs"/>
          <w:sz w:val="22"/>
          <w:szCs w:val="22"/>
          <w:rtl/>
        </w:rPr>
        <w:t>בי</w:t>
      </w:r>
      <w:r w:rsidRPr="00341C3E">
        <w:rPr>
          <w:rFonts w:ascii="Times New Roman" w:hAnsi="Times New Roman" w:cs="David"/>
          <w:sz w:val="22"/>
          <w:szCs w:val="22"/>
          <w:rtl/>
        </w:rPr>
        <w:t xml:space="preserve"> ר</w:t>
      </w:r>
      <w:r w:rsidRPr="00341C3E">
        <w:rPr>
          <w:rFonts w:ascii="Times New Roman" w:hAnsi="Times New Roman" w:cs="David" w:hint="cs"/>
          <w:sz w:val="22"/>
          <w:szCs w:val="22"/>
          <w:rtl/>
        </w:rPr>
        <w:t>י</w:t>
      </w:r>
      <w:r w:rsidRPr="00341C3E">
        <w:rPr>
          <w:rFonts w:ascii="Times New Roman" w:hAnsi="Times New Roman" w:cs="David"/>
          <w:sz w:val="22"/>
          <w:szCs w:val="22"/>
          <w:rtl/>
        </w:rPr>
        <w:t xml:space="preserve">שיון הרכב </w:t>
      </w:r>
      <w:r w:rsidRPr="00341C3E">
        <w:rPr>
          <w:rFonts w:ascii="Times New Roman" w:hAnsi="Times New Roman" w:cs="David" w:hint="cs"/>
          <w:sz w:val="22"/>
          <w:szCs w:val="22"/>
          <w:rtl/>
        </w:rPr>
        <w:t>________________________</w:t>
      </w:r>
    </w:p>
    <w:p w:rsidR="00ED5542" w:rsidRPr="00341C3E" w:rsidRDefault="00ED5542" w:rsidP="00ED5542">
      <w:pPr>
        <w:pStyle w:val="a3"/>
        <w:tabs>
          <w:tab w:val="left" w:pos="8083"/>
        </w:tabs>
        <w:spacing w:line="360" w:lineRule="auto"/>
        <w:ind w:left="1440"/>
        <w:jc w:val="both"/>
        <w:rPr>
          <w:rFonts w:ascii="Times New Roman" w:hAnsi="Times New Roman" w:cs="David" w:hint="cs"/>
          <w:sz w:val="22"/>
          <w:szCs w:val="22"/>
          <w:rtl/>
        </w:rPr>
      </w:pPr>
      <w:r w:rsidRPr="00341C3E">
        <w:rPr>
          <w:rFonts w:ascii="Times New Roman" w:hAnsi="Times New Roman" w:cs="David" w:hint="cs"/>
          <w:sz w:val="22"/>
          <w:szCs w:val="22"/>
          <w:rtl/>
        </w:rPr>
        <w:t>ר</w:t>
      </w:r>
      <w:r w:rsidRPr="00341C3E">
        <w:rPr>
          <w:rFonts w:ascii="Times New Roman" w:hAnsi="Times New Roman" w:cs="David"/>
          <w:sz w:val="22"/>
          <w:szCs w:val="22"/>
          <w:rtl/>
        </w:rPr>
        <w:t>כב זה עומד לרשותי לשימוש לצורכי העבודה, והוא כשיר לנסיעה.</w:t>
      </w:r>
    </w:p>
    <w:p w:rsidR="00ED5542" w:rsidRPr="00341C3E" w:rsidRDefault="00ED5542" w:rsidP="00ED5542">
      <w:pPr>
        <w:pStyle w:val="a3"/>
        <w:tabs>
          <w:tab w:val="left" w:pos="8083"/>
        </w:tabs>
        <w:ind w:left="1440"/>
        <w:jc w:val="both"/>
        <w:rPr>
          <w:rFonts w:ascii="Times New Roman" w:hAnsi="Times New Roman" w:cs="David" w:hint="cs"/>
          <w:sz w:val="22"/>
          <w:szCs w:val="22"/>
        </w:rPr>
      </w:pPr>
    </w:p>
    <w:p w:rsidR="00ED5542" w:rsidRPr="00341C3E" w:rsidRDefault="00ED5542" w:rsidP="00ED5542">
      <w:pPr>
        <w:pStyle w:val="a3"/>
        <w:numPr>
          <w:ilvl w:val="0"/>
          <w:numId w:val="11"/>
        </w:numPr>
        <w:tabs>
          <w:tab w:val="left" w:pos="8083"/>
        </w:tabs>
        <w:jc w:val="both"/>
        <w:rPr>
          <w:rFonts w:ascii="Times New Roman" w:hAnsi="Times New Roman" w:cs="David" w:hint="cs"/>
          <w:sz w:val="22"/>
          <w:szCs w:val="22"/>
        </w:rPr>
      </w:pPr>
      <w:r w:rsidRPr="00341C3E">
        <w:rPr>
          <w:rFonts w:ascii="Times New Roman" w:hAnsi="Times New Roman" w:cs="David" w:hint="cs"/>
          <w:sz w:val="22"/>
          <w:szCs w:val="22"/>
          <w:rtl/>
        </w:rPr>
        <w:t xml:space="preserve">הנני </w:t>
      </w:r>
      <w:r w:rsidRPr="00341C3E">
        <w:rPr>
          <w:rFonts w:ascii="Times New Roman" w:hAnsi="Times New Roman" w:cs="David"/>
          <w:sz w:val="22"/>
          <w:szCs w:val="22"/>
          <w:rtl/>
        </w:rPr>
        <w:t xml:space="preserve">  בעל ר</w:t>
      </w:r>
      <w:r w:rsidRPr="00341C3E">
        <w:rPr>
          <w:rFonts w:ascii="Times New Roman" w:hAnsi="Times New Roman" w:cs="David" w:hint="cs"/>
          <w:sz w:val="22"/>
          <w:szCs w:val="22"/>
          <w:rtl/>
        </w:rPr>
        <w:t>י</w:t>
      </w:r>
      <w:r w:rsidRPr="00341C3E">
        <w:rPr>
          <w:rFonts w:ascii="Times New Roman" w:hAnsi="Times New Roman" w:cs="David"/>
          <w:sz w:val="22"/>
          <w:szCs w:val="22"/>
          <w:rtl/>
        </w:rPr>
        <w:t>שיון נהיגה מס'</w:t>
      </w:r>
      <w:r w:rsidRPr="00341C3E">
        <w:rPr>
          <w:rFonts w:ascii="Times New Roman" w:hAnsi="Times New Roman" w:cs="David" w:hint="cs"/>
          <w:sz w:val="22"/>
          <w:szCs w:val="22"/>
          <w:rtl/>
        </w:rPr>
        <w:t>_____________</w:t>
      </w:r>
      <w:r w:rsidRPr="00341C3E">
        <w:rPr>
          <w:rFonts w:ascii="Times New Roman" w:hAnsi="Times New Roman" w:cs="David"/>
          <w:sz w:val="22"/>
          <w:szCs w:val="22"/>
          <w:rtl/>
        </w:rPr>
        <w:t xml:space="preserve"> תאריך ההוצאה</w:t>
      </w:r>
      <w:r w:rsidRPr="00341C3E">
        <w:rPr>
          <w:rFonts w:ascii="Times New Roman" w:hAnsi="Times New Roman" w:cs="David" w:hint="cs"/>
          <w:sz w:val="22"/>
          <w:szCs w:val="22"/>
          <w:rtl/>
        </w:rPr>
        <w:t xml:space="preserve"> __________</w:t>
      </w:r>
      <w:r w:rsidRPr="00341C3E">
        <w:rPr>
          <w:rFonts w:ascii="Times New Roman" w:hAnsi="Times New Roman" w:cs="David"/>
          <w:sz w:val="22"/>
          <w:szCs w:val="22"/>
          <w:rtl/>
        </w:rPr>
        <w:t>.</w:t>
      </w:r>
    </w:p>
    <w:p w:rsidR="00ED5542" w:rsidRPr="00341C3E" w:rsidRDefault="00ED5542" w:rsidP="00ED5542">
      <w:pPr>
        <w:pStyle w:val="a3"/>
        <w:tabs>
          <w:tab w:val="left" w:pos="8083"/>
        </w:tabs>
        <w:ind w:left="720"/>
        <w:jc w:val="both"/>
        <w:rPr>
          <w:rFonts w:ascii="Times New Roman" w:hAnsi="Times New Roman" w:cs="David" w:hint="cs"/>
          <w:sz w:val="22"/>
          <w:szCs w:val="22"/>
        </w:rPr>
      </w:pPr>
    </w:p>
    <w:p w:rsidR="00ED5542" w:rsidRPr="00341C3E" w:rsidRDefault="00ED5542" w:rsidP="00ED5542">
      <w:pPr>
        <w:pStyle w:val="a3"/>
        <w:numPr>
          <w:ilvl w:val="0"/>
          <w:numId w:val="11"/>
        </w:numPr>
        <w:tabs>
          <w:tab w:val="left" w:pos="8083"/>
        </w:tabs>
        <w:spacing w:line="360" w:lineRule="auto"/>
        <w:jc w:val="both"/>
        <w:rPr>
          <w:rFonts w:ascii="Times New Roman" w:hAnsi="Times New Roman" w:cs="David" w:hint="cs"/>
          <w:sz w:val="22"/>
          <w:szCs w:val="22"/>
        </w:rPr>
      </w:pPr>
      <w:r w:rsidRPr="00341C3E">
        <w:rPr>
          <w:rFonts w:ascii="Times New Roman" w:hAnsi="Times New Roman" w:cs="David" w:hint="cs"/>
          <w:sz w:val="22"/>
          <w:szCs w:val="22"/>
          <w:rtl/>
        </w:rPr>
        <w:t>מקום עבודת בן הזוג ______________________________________.</w:t>
      </w:r>
    </w:p>
    <w:p w:rsidR="00ED5542" w:rsidRPr="00341C3E" w:rsidRDefault="00ED5542" w:rsidP="00ED5542">
      <w:pPr>
        <w:pStyle w:val="a3"/>
        <w:tabs>
          <w:tab w:val="left" w:pos="8083"/>
        </w:tabs>
        <w:spacing w:line="360" w:lineRule="auto"/>
        <w:ind w:left="1440"/>
        <w:jc w:val="both"/>
        <w:rPr>
          <w:rFonts w:ascii="Times New Roman" w:hAnsi="Times New Roman" w:cs="David" w:hint="cs"/>
          <w:sz w:val="22"/>
          <w:szCs w:val="22"/>
        </w:rPr>
      </w:pPr>
      <w:r w:rsidRPr="00341C3E">
        <w:rPr>
          <w:rFonts w:ascii="Times New Roman" w:hAnsi="Times New Roman" w:cs="David" w:hint="cs"/>
          <w:sz w:val="22"/>
          <w:szCs w:val="22"/>
          <w:rtl/>
        </w:rPr>
        <w:t xml:space="preserve">בן זוגי   </w:t>
      </w:r>
      <w:r w:rsidRPr="00341C3E">
        <w:rPr>
          <w:rFonts w:ascii="Times New Roman" w:hAnsi="Times New Roman" w:cs="David" w:hint="cs"/>
          <w:sz w:val="22"/>
          <w:szCs w:val="22"/>
        </w:rPr>
        <w:sym w:font="Wingdings" w:char="F06F"/>
      </w:r>
      <w:r w:rsidRPr="00341C3E">
        <w:rPr>
          <w:rFonts w:ascii="Times New Roman" w:hAnsi="Times New Roman" w:cs="David"/>
          <w:sz w:val="22"/>
          <w:szCs w:val="22"/>
        </w:rPr>
        <w:t xml:space="preserve"> </w:t>
      </w:r>
      <w:r w:rsidRPr="00341C3E">
        <w:rPr>
          <w:rFonts w:ascii="Times New Roman" w:hAnsi="Times New Roman" w:cs="David" w:hint="cs"/>
          <w:sz w:val="22"/>
          <w:szCs w:val="22"/>
        </w:rPr>
        <w:sym w:font="Wingdings" w:char="F06F"/>
      </w:r>
      <w:r w:rsidRPr="00341C3E">
        <w:rPr>
          <w:rFonts w:ascii="Times New Roman" w:hAnsi="Times New Roman" w:cs="David" w:hint="cs"/>
          <w:sz w:val="22"/>
          <w:szCs w:val="22"/>
          <w:rtl/>
        </w:rPr>
        <w:t xml:space="preserve">  עובד  בקופה ציבורית (משרד ממשלתי,  חברה  ממשלתית,  חברה    </w:t>
      </w:r>
    </w:p>
    <w:p w:rsidR="00ED5542" w:rsidRPr="00341C3E" w:rsidRDefault="00ED5542" w:rsidP="00ED5542">
      <w:pPr>
        <w:pStyle w:val="a3"/>
        <w:tabs>
          <w:tab w:val="left" w:pos="8083"/>
        </w:tabs>
        <w:spacing w:line="360" w:lineRule="auto"/>
        <w:ind w:left="1440"/>
        <w:jc w:val="both"/>
        <w:rPr>
          <w:rFonts w:ascii="Times New Roman" w:hAnsi="Times New Roman" w:cs="David" w:hint="cs"/>
          <w:sz w:val="22"/>
          <w:szCs w:val="22"/>
        </w:rPr>
      </w:pPr>
      <w:r w:rsidRPr="00341C3E">
        <w:rPr>
          <w:rFonts w:ascii="Times New Roman" w:hAnsi="Times New Roman" w:cs="David" w:hint="cs"/>
          <w:sz w:val="22"/>
          <w:szCs w:val="22"/>
          <w:rtl/>
        </w:rPr>
        <w:t xml:space="preserve">              כן  לא </w:t>
      </w:r>
    </w:p>
    <w:p w:rsidR="00ED5542" w:rsidRPr="00341C3E" w:rsidRDefault="00ED5542" w:rsidP="00ED5542">
      <w:pPr>
        <w:pStyle w:val="a3"/>
        <w:tabs>
          <w:tab w:val="left" w:pos="8083"/>
        </w:tabs>
        <w:spacing w:line="360" w:lineRule="auto"/>
        <w:ind w:left="720"/>
        <w:jc w:val="both"/>
        <w:rPr>
          <w:rFonts w:ascii="Times New Roman" w:hAnsi="Times New Roman" w:cs="David" w:hint="cs"/>
          <w:sz w:val="22"/>
          <w:szCs w:val="22"/>
          <w:rtl/>
        </w:rPr>
      </w:pPr>
      <w:r w:rsidRPr="00341C3E">
        <w:rPr>
          <w:rFonts w:ascii="Times New Roman" w:hAnsi="Times New Roman" w:cs="David" w:hint="cs"/>
          <w:sz w:val="22"/>
          <w:szCs w:val="22"/>
          <w:rtl/>
        </w:rPr>
        <w:t xml:space="preserve">             בת ממשלתית, תאגיד שהוקם על-פי חוק וגופים אחרים כמפורט ברשימת קופות</w:t>
      </w:r>
    </w:p>
    <w:p w:rsidR="00ED5542" w:rsidRPr="00341C3E" w:rsidRDefault="00ED5542" w:rsidP="00ED5542">
      <w:pPr>
        <w:pStyle w:val="a3"/>
        <w:tabs>
          <w:tab w:val="left" w:pos="8083"/>
        </w:tabs>
        <w:spacing w:line="360" w:lineRule="auto"/>
        <w:ind w:left="720"/>
        <w:jc w:val="both"/>
        <w:rPr>
          <w:rFonts w:ascii="Times New Roman" w:hAnsi="Times New Roman" w:cs="David" w:hint="cs"/>
          <w:sz w:val="22"/>
          <w:szCs w:val="22"/>
          <w:rtl/>
        </w:rPr>
      </w:pPr>
      <w:r w:rsidRPr="00341C3E">
        <w:rPr>
          <w:rFonts w:ascii="Times New Roman" w:hAnsi="Times New Roman" w:cs="David" w:hint="cs"/>
          <w:sz w:val="22"/>
          <w:szCs w:val="22"/>
          <w:rtl/>
        </w:rPr>
        <w:t xml:space="preserve">             ציבוריות).</w:t>
      </w:r>
    </w:p>
    <w:p w:rsidR="00ED5542" w:rsidRPr="00341C3E" w:rsidRDefault="00ED5542" w:rsidP="00ED5542">
      <w:pPr>
        <w:pStyle w:val="a3"/>
        <w:numPr>
          <w:ilvl w:val="0"/>
          <w:numId w:val="11"/>
        </w:numPr>
        <w:tabs>
          <w:tab w:val="left" w:pos="8083"/>
        </w:tabs>
        <w:jc w:val="both"/>
        <w:rPr>
          <w:rFonts w:ascii="Times New Roman" w:hAnsi="Times New Roman" w:cs="David" w:hint="cs"/>
          <w:sz w:val="22"/>
          <w:szCs w:val="22"/>
        </w:rPr>
      </w:pPr>
      <w:r w:rsidRPr="00341C3E">
        <w:rPr>
          <w:rFonts w:ascii="Times New Roman" w:hAnsi="Times New Roman" w:cs="David" w:hint="cs"/>
          <w:sz w:val="22"/>
          <w:szCs w:val="22"/>
          <w:rtl/>
        </w:rPr>
        <w:t>עובד/ת שבן/ת הזוג עובד/ת בקופה ציבורית ימציא לחשבות משרדו אישור מפורט ממעסיקו של בן/ת הזוג המפרט את מרכיבי התשלום בגין החזר הוצאות הרכב (הוצאות קבועות, משתנות, ביטוח ורישוי שנתי) לצורך בדיקת המגבלה כמפורט בסעיף 4 להוראה זו (עמודים 2-3).</w:t>
      </w:r>
    </w:p>
    <w:p w:rsidR="00ED5542" w:rsidRPr="00341C3E" w:rsidRDefault="00ED5542" w:rsidP="00ED5542">
      <w:pPr>
        <w:pStyle w:val="a3"/>
        <w:tabs>
          <w:tab w:val="left" w:pos="8083"/>
        </w:tabs>
        <w:ind w:left="720"/>
        <w:jc w:val="both"/>
        <w:rPr>
          <w:rFonts w:ascii="Times New Roman" w:hAnsi="Times New Roman" w:cs="David" w:hint="cs"/>
          <w:sz w:val="22"/>
          <w:szCs w:val="22"/>
        </w:rPr>
      </w:pPr>
    </w:p>
    <w:p w:rsidR="00ED5542" w:rsidRPr="00341C3E" w:rsidRDefault="00ED5542" w:rsidP="00ED5542">
      <w:pPr>
        <w:pStyle w:val="a3"/>
        <w:numPr>
          <w:ilvl w:val="0"/>
          <w:numId w:val="11"/>
        </w:numPr>
        <w:tabs>
          <w:tab w:val="left" w:pos="8083"/>
        </w:tabs>
        <w:jc w:val="both"/>
        <w:rPr>
          <w:rFonts w:ascii="Times New Roman" w:hAnsi="Times New Roman" w:cs="David" w:hint="cs"/>
          <w:sz w:val="22"/>
          <w:szCs w:val="22"/>
        </w:rPr>
      </w:pPr>
      <w:r w:rsidRPr="00341C3E">
        <w:rPr>
          <w:rFonts w:ascii="Times New Roman" w:hAnsi="Times New Roman" w:cs="David" w:hint="cs"/>
          <w:sz w:val="22"/>
          <w:szCs w:val="22"/>
          <w:rtl/>
        </w:rPr>
        <w:t>הנני מתחייב להודיע לחשבות המשרד על שלילת רישיון, רכב מושבת, טסט לא בתוקף, קבלת בן/בת זוגי החזר בגין הרכב האמור מקופה ציבורית.</w:t>
      </w:r>
    </w:p>
    <w:p w:rsidR="00ED5542" w:rsidRPr="00341C3E" w:rsidRDefault="00ED5542" w:rsidP="00ED5542">
      <w:pPr>
        <w:pStyle w:val="a3"/>
        <w:tabs>
          <w:tab w:val="left" w:pos="8083"/>
        </w:tabs>
        <w:jc w:val="both"/>
        <w:rPr>
          <w:rFonts w:ascii="Times New Roman" w:hAnsi="Times New Roman" w:cs="David" w:hint="cs"/>
          <w:sz w:val="22"/>
          <w:szCs w:val="22"/>
          <w:rtl/>
        </w:rPr>
      </w:pPr>
    </w:p>
    <w:p w:rsidR="00ED5542" w:rsidRPr="00341C3E" w:rsidRDefault="00ED5542" w:rsidP="00ED5542">
      <w:pPr>
        <w:pStyle w:val="a3"/>
        <w:numPr>
          <w:ilvl w:val="0"/>
          <w:numId w:val="11"/>
        </w:numPr>
        <w:tabs>
          <w:tab w:val="left" w:pos="8083"/>
        </w:tabs>
        <w:jc w:val="both"/>
        <w:rPr>
          <w:rFonts w:ascii="Times New Roman" w:hAnsi="Times New Roman" w:cs="David"/>
          <w:sz w:val="22"/>
          <w:szCs w:val="22"/>
        </w:rPr>
      </w:pPr>
      <w:r w:rsidRPr="00341C3E">
        <w:rPr>
          <w:rFonts w:ascii="Times New Roman" w:hAnsi="Times New Roman" w:cs="David" w:hint="cs"/>
          <w:sz w:val="22"/>
          <w:szCs w:val="22"/>
          <w:rtl/>
        </w:rPr>
        <w:t>הצהרה</w:t>
      </w:r>
      <w:r w:rsidRPr="00341C3E">
        <w:rPr>
          <w:rFonts w:ascii="Times New Roman" w:hAnsi="Times New Roman" w:cs="David"/>
          <w:sz w:val="22"/>
          <w:szCs w:val="22"/>
          <w:rtl/>
        </w:rPr>
        <w:t xml:space="preserve"> זו ניתנת לצורך קבלת  החזר  ניידות  והנני  מצהיר,  כי  כל  הפרטי</w:t>
      </w:r>
      <w:r w:rsidRPr="00341C3E">
        <w:rPr>
          <w:rFonts w:ascii="Times New Roman" w:hAnsi="Times New Roman" w:cs="David" w:hint="cs"/>
          <w:sz w:val="22"/>
          <w:szCs w:val="22"/>
          <w:rtl/>
        </w:rPr>
        <w:t>ם</w:t>
      </w:r>
      <w:r w:rsidRPr="00341C3E">
        <w:rPr>
          <w:rFonts w:ascii="Times New Roman" w:hAnsi="Times New Roman" w:cs="David"/>
          <w:sz w:val="22"/>
          <w:szCs w:val="22"/>
          <w:rtl/>
        </w:rPr>
        <w:t xml:space="preserve">  האמורים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לעיל הינם נכונים.                                            </w:t>
      </w:r>
    </w:p>
    <w:p w:rsidR="00ED5542" w:rsidRPr="00341C3E" w:rsidRDefault="00ED5542" w:rsidP="00ED5542">
      <w:pPr>
        <w:pStyle w:val="a3"/>
        <w:tabs>
          <w:tab w:val="left" w:pos="8083"/>
        </w:tabs>
        <w:ind w:firstLine="566"/>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tabs>
          <w:tab w:val="left" w:pos="8222"/>
        </w:tabs>
        <w:ind w:left="992" w:hanging="566"/>
        <w:jc w:val="both"/>
        <w:rPr>
          <w:rFonts w:ascii="Times New Roman" w:hAnsi="Times New Roman" w:cs="David"/>
          <w:sz w:val="22"/>
          <w:szCs w:val="22"/>
        </w:rPr>
      </w:pPr>
      <w:r w:rsidRPr="00341C3E">
        <w:rPr>
          <w:rFonts w:ascii="Times New Roman" w:hAnsi="Times New Roman" w:cs="David"/>
          <w:sz w:val="22"/>
          <w:szCs w:val="22"/>
          <w:rtl/>
        </w:rPr>
        <w:t xml:space="preserve">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    במידה </w:t>
      </w:r>
      <w:r w:rsidRPr="00341C3E">
        <w:rPr>
          <w:rFonts w:ascii="Times New Roman" w:hAnsi="Times New Roman" w:cs="David" w:hint="cs"/>
          <w:sz w:val="22"/>
          <w:szCs w:val="22"/>
          <w:rtl/>
        </w:rPr>
        <w:t>ו</w:t>
      </w:r>
      <w:r w:rsidRPr="00341C3E">
        <w:rPr>
          <w:rFonts w:ascii="Times New Roman" w:hAnsi="Times New Roman" w:cs="David"/>
          <w:sz w:val="22"/>
          <w:szCs w:val="22"/>
          <w:rtl/>
        </w:rPr>
        <w:t>יחול שינוי בכל אחד מהפרטים, עליהם הצהרתי לעיל, הנני מתחייב</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   לדווח על כך למשרד לאלתר.                                                                                                </w:t>
      </w:r>
    </w:p>
    <w:p w:rsidR="00ED5542" w:rsidRPr="00341C3E" w:rsidRDefault="00ED5542" w:rsidP="00ED5542">
      <w:pPr>
        <w:pStyle w:val="a3"/>
        <w:tabs>
          <w:tab w:val="left" w:pos="8222"/>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tabs>
          <w:tab w:val="left" w:pos="8083"/>
        </w:tabs>
        <w:jc w:val="both"/>
        <w:rPr>
          <w:rFonts w:ascii="Times New Roman" w:hAnsi="Times New Roman" w:cs="David" w:hint="cs"/>
          <w:sz w:val="22"/>
          <w:szCs w:val="22"/>
          <w:rtl/>
        </w:rPr>
      </w:pPr>
      <w:r w:rsidRPr="00341C3E">
        <w:rPr>
          <w:rFonts w:ascii="Times New Roman" w:hAnsi="Times New Roman" w:cs="David"/>
          <w:sz w:val="22"/>
          <w:szCs w:val="22"/>
          <w:rtl/>
        </w:rPr>
        <w:t xml:space="preserve">           ת א ר י ך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   שם העובד     </w:t>
      </w:r>
      <w:r w:rsidRPr="00341C3E">
        <w:rPr>
          <w:rFonts w:ascii="Times New Roman" w:hAnsi="Times New Roman" w:cs="David" w:hint="cs"/>
          <w:sz w:val="22"/>
          <w:szCs w:val="22"/>
          <w:rtl/>
        </w:rPr>
        <w:t xml:space="preserve">                       ת.ז. </w:t>
      </w:r>
      <w:r w:rsidRPr="00341C3E">
        <w:rPr>
          <w:rFonts w:ascii="Times New Roman" w:hAnsi="Times New Roman" w:cs="David"/>
          <w:sz w:val="22"/>
          <w:szCs w:val="22"/>
          <w:rtl/>
        </w:rPr>
        <w:t xml:space="preserve">  </w:t>
      </w:r>
      <w:r w:rsidRPr="00341C3E">
        <w:rPr>
          <w:rFonts w:ascii="Times New Roman" w:hAnsi="Times New Roman" w:cs="David" w:hint="cs"/>
          <w:sz w:val="22"/>
          <w:szCs w:val="22"/>
          <w:rtl/>
        </w:rPr>
        <w:t xml:space="preserve">               </w:t>
      </w:r>
      <w:r w:rsidRPr="00341C3E">
        <w:rPr>
          <w:rFonts w:ascii="Times New Roman" w:hAnsi="Times New Roman" w:cs="David"/>
          <w:sz w:val="22"/>
          <w:szCs w:val="22"/>
          <w:rtl/>
        </w:rPr>
        <w:t xml:space="preserve">   ח ת י מ ה   </w:t>
      </w:r>
    </w:p>
    <w:p w:rsidR="00ED5542" w:rsidRPr="00341C3E" w:rsidRDefault="00ED5542" w:rsidP="00ED5542">
      <w:pPr>
        <w:pStyle w:val="a3"/>
        <w:tabs>
          <w:tab w:val="left" w:pos="8083"/>
        </w:tabs>
        <w:jc w:val="both"/>
        <w:rPr>
          <w:rFonts w:ascii="Times New Roman" w:hAnsi="Times New Roman" w:cs="David"/>
          <w:sz w:val="22"/>
          <w:szCs w:val="22"/>
        </w:rPr>
      </w:pPr>
      <w:r w:rsidRPr="00341C3E">
        <w:rPr>
          <w:rFonts w:ascii="Times New Roman" w:hAnsi="Times New Roman" w:cs="David"/>
          <w:sz w:val="22"/>
          <w:szCs w:val="22"/>
          <w:rtl/>
        </w:rPr>
        <w:t xml:space="preserve">                                                                         </w:t>
      </w:r>
    </w:p>
    <w:p w:rsidR="00ED5542" w:rsidRPr="00341C3E" w:rsidRDefault="00ED5542" w:rsidP="00ED5542">
      <w:pPr>
        <w:pStyle w:val="a3"/>
        <w:tabs>
          <w:tab w:val="left" w:pos="8083"/>
        </w:tabs>
        <w:jc w:val="both"/>
        <w:rPr>
          <w:rFonts w:ascii="Times New Roman" w:hAnsi="Times New Roman" w:cs="David" w:hint="cs"/>
          <w:sz w:val="22"/>
          <w:szCs w:val="22"/>
          <w:rtl/>
        </w:rPr>
      </w:pPr>
      <w:r w:rsidRPr="00341C3E">
        <w:rPr>
          <w:rFonts w:ascii="Times New Roman" w:hAnsi="Times New Roman" w:cs="David" w:hint="cs"/>
          <w:sz w:val="22"/>
          <w:szCs w:val="22"/>
          <w:rtl/>
        </w:rPr>
        <w:t xml:space="preserve">       ________                          ____________           __________        ___________</w:t>
      </w:r>
    </w:p>
    <w:p w:rsidR="00ED5542" w:rsidRPr="00341C3E" w:rsidRDefault="00ED5542">
      <w:pPr>
        <w:rPr>
          <w:rFonts w:hint="cs"/>
          <w:sz w:val="22"/>
          <w:szCs w:val="22"/>
          <w:u w:val="single"/>
          <w:rtl/>
        </w:rPr>
      </w:pPr>
    </w:p>
    <w:p w:rsidR="001B4EA6" w:rsidRPr="00341C3E" w:rsidRDefault="001B4EA6">
      <w:pPr>
        <w:rPr>
          <w:rFonts w:hint="cs"/>
          <w:sz w:val="22"/>
          <w:szCs w:val="22"/>
          <w:rtl/>
        </w:rPr>
      </w:pPr>
    </w:p>
    <w:p w:rsidR="00ED5542" w:rsidRPr="00341C3E" w:rsidRDefault="00ED5542">
      <w:pPr>
        <w:rPr>
          <w:rFonts w:hint="cs"/>
          <w:sz w:val="22"/>
          <w:szCs w:val="22"/>
          <w:rtl/>
        </w:rPr>
      </w:pPr>
    </w:p>
    <w:p w:rsidR="00341C3E" w:rsidRDefault="00AA67C6" w:rsidP="00AA67C6">
      <w:pPr>
        <w:pStyle w:val="2"/>
        <w:rPr>
          <w:rFonts w:hint="cs"/>
          <w:rtl/>
        </w:rPr>
      </w:pPr>
      <w:r>
        <w:rPr>
          <w:rtl/>
        </w:rPr>
        <w:br w:type="page"/>
      </w:r>
      <w:bookmarkStart w:id="63" w:name="_Toc144716292"/>
      <w:r w:rsidR="00ED5542" w:rsidRPr="004A2AB7">
        <w:rPr>
          <w:rFonts w:hint="cs"/>
          <w:rtl/>
        </w:rPr>
        <w:lastRenderedPageBreak/>
        <w:t xml:space="preserve">נספח ב </w:t>
      </w:r>
      <w:r w:rsidR="00341C3E" w:rsidRPr="004A2AB7">
        <w:rPr>
          <w:rtl/>
        </w:rPr>
        <w:t>–</w:t>
      </w:r>
      <w:r w:rsidR="00ED5542" w:rsidRPr="004A2AB7">
        <w:rPr>
          <w:rFonts w:hint="cs"/>
          <w:rtl/>
        </w:rPr>
        <w:t xml:space="preserve"> </w:t>
      </w:r>
      <w:r w:rsidR="0049526A" w:rsidRPr="004A2AB7">
        <w:rPr>
          <w:rFonts w:hint="cs"/>
          <w:rtl/>
        </w:rPr>
        <w:t>דוגמא לטבלאות החזרי הוצאות</w:t>
      </w:r>
      <w:bookmarkEnd w:id="63"/>
    </w:p>
    <w:p w:rsidR="00AA67C6" w:rsidRPr="00AA67C6" w:rsidRDefault="00AA67C6" w:rsidP="00AA67C6">
      <w:pPr>
        <w:rPr>
          <w:rFonts w:hint="cs"/>
          <w:rtl/>
        </w:rPr>
      </w:pPr>
    </w:p>
    <w:p w:rsidR="00BD0EEA" w:rsidRPr="00027618" w:rsidRDefault="00BD0EEA" w:rsidP="001C32E0">
      <w:pPr>
        <w:rPr>
          <w:rFonts w:hint="cs"/>
          <w:sz w:val="24"/>
          <w:rtl/>
        </w:rPr>
      </w:pPr>
      <w:r w:rsidRPr="00027618">
        <w:rPr>
          <w:rFonts w:hint="cs"/>
          <w:sz w:val="24"/>
          <w:rtl/>
        </w:rPr>
        <w:t>החזרי הוצאות הרכב נעשה לפי סיווג העובד לבעל רכב שירות או אישי ול</w:t>
      </w:r>
      <w:r w:rsidR="00027618" w:rsidRPr="00027618">
        <w:rPr>
          <w:rFonts w:hint="cs"/>
          <w:sz w:val="24"/>
          <w:rtl/>
        </w:rPr>
        <w:t>סיווגו ל</w:t>
      </w:r>
      <w:r w:rsidRPr="00027618">
        <w:rPr>
          <w:rFonts w:hint="cs"/>
          <w:sz w:val="24"/>
          <w:rtl/>
        </w:rPr>
        <w:t>פי רמות</w:t>
      </w:r>
      <w:r w:rsidR="00027618" w:rsidRPr="00027618">
        <w:rPr>
          <w:rFonts w:hint="cs"/>
          <w:sz w:val="24"/>
          <w:rtl/>
        </w:rPr>
        <w:t xml:space="preserve"> (א-ד)</w:t>
      </w:r>
      <w:r w:rsidRPr="00027618">
        <w:rPr>
          <w:rFonts w:hint="cs"/>
          <w:sz w:val="24"/>
          <w:rtl/>
        </w:rPr>
        <w:t>.</w:t>
      </w:r>
      <w:r w:rsidR="00027618" w:rsidRPr="00027618">
        <w:rPr>
          <w:rFonts w:hint="cs"/>
          <w:sz w:val="24"/>
          <w:rtl/>
        </w:rPr>
        <w:t xml:space="preserve"> שיוך העובד לרמה ולרכב שירות/אישי נעשה לאור פרמטרים שונים כדוגמת ותק, בכירות בתפקיד, וכו'. </w:t>
      </w:r>
      <w:r w:rsidR="0049526A">
        <w:rPr>
          <w:rFonts w:hint="cs"/>
          <w:sz w:val="24"/>
          <w:rtl/>
        </w:rPr>
        <w:t xml:space="preserve"> הנתונים </w:t>
      </w:r>
      <w:r w:rsidR="00937B20">
        <w:rPr>
          <w:rFonts w:hint="cs"/>
          <w:sz w:val="24"/>
          <w:rtl/>
        </w:rPr>
        <w:t xml:space="preserve">המספריים </w:t>
      </w:r>
      <w:r w:rsidR="0049526A">
        <w:rPr>
          <w:rFonts w:hint="cs"/>
          <w:sz w:val="24"/>
          <w:rtl/>
        </w:rPr>
        <w:t>המופיעים בחוזר החשב שלהלן הי</w:t>
      </w:r>
      <w:r w:rsidR="001C32E0">
        <w:rPr>
          <w:rFonts w:hint="cs"/>
          <w:sz w:val="24"/>
          <w:rtl/>
        </w:rPr>
        <w:t>נם משנת 1988, אינם עדכניים לגמרי</w:t>
      </w:r>
      <w:r w:rsidR="0049526A">
        <w:rPr>
          <w:rFonts w:hint="cs"/>
          <w:sz w:val="24"/>
          <w:rtl/>
        </w:rPr>
        <w:t>, והובאו לצורך המחשה בלבד.</w:t>
      </w:r>
    </w:p>
    <w:p w:rsidR="00341C3E" w:rsidRPr="00341C3E" w:rsidRDefault="00341C3E">
      <w:pPr>
        <w:rPr>
          <w:rFonts w:hint="cs"/>
          <w:sz w:val="22"/>
          <w:szCs w:val="22"/>
          <w:u w:val="single"/>
          <w:rtl/>
        </w:rPr>
      </w:pPr>
    </w:p>
    <w:p w:rsidR="00341C3E" w:rsidRDefault="00341C3E">
      <w:pPr>
        <w:rPr>
          <w:rFonts w:hint="cs"/>
          <w:sz w:val="22"/>
          <w:szCs w:val="22"/>
          <w:u w:val="single"/>
          <w:rtl/>
        </w:rPr>
      </w:pPr>
    </w:p>
    <w:p w:rsidR="00475FB5" w:rsidRDefault="00475FB5">
      <w:pPr>
        <w:rPr>
          <w:rFonts w:hint="cs"/>
          <w:sz w:val="22"/>
          <w:szCs w:val="22"/>
          <w:u w:val="single"/>
          <w:rtl/>
        </w:rPr>
      </w:pPr>
    </w:p>
    <w:p w:rsidR="00475FB5" w:rsidRDefault="00475FB5">
      <w:pPr>
        <w:rPr>
          <w:rFonts w:hint="cs"/>
          <w:sz w:val="22"/>
          <w:szCs w:val="22"/>
          <w:u w:val="single"/>
          <w:rtl/>
        </w:rPr>
      </w:pPr>
    </w:p>
    <w:p w:rsidR="00475FB5" w:rsidRPr="00341C3E" w:rsidRDefault="00475FB5">
      <w:pPr>
        <w:rPr>
          <w:rFonts w:hint="cs"/>
          <w:sz w:val="22"/>
          <w:szCs w:val="22"/>
          <w:u w:val="single"/>
          <w:rtl/>
        </w:rPr>
      </w:pPr>
    </w:p>
    <w:p w:rsidR="00341C3E" w:rsidRPr="00341C3E" w:rsidRDefault="00341C3E" w:rsidP="00BD0EEA">
      <w:pPr>
        <w:pStyle w:val="a3"/>
        <w:jc w:val="center"/>
        <w:rPr>
          <w:rFonts w:cs="David"/>
          <w:sz w:val="22"/>
          <w:szCs w:val="22"/>
        </w:rPr>
      </w:pPr>
      <w:r w:rsidRPr="00341C3E">
        <w:rPr>
          <w:rFonts w:cs="David"/>
          <w:sz w:val="22"/>
          <w:szCs w:val="22"/>
          <w:rtl/>
        </w:rPr>
        <w:t>מדינת ישראל</w:t>
      </w:r>
    </w:p>
    <w:p w:rsidR="00341C3E" w:rsidRPr="00341C3E" w:rsidRDefault="00341C3E" w:rsidP="00BD0EEA">
      <w:pPr>
        <w:pStyle w:val="a3"/>
        <w:jc w:val="center"/>
        <w:rPr>
          <w:rFonts w:cs="David"/>
          <w:sz w:val="22"/>
          <w:szCs w:val="22"/>
        </w:rPr>
      </w:pPr>
      <w:r w:rsidRPr="00341C3E">
        <w:rPr>
          <w:rFonts w:cs="David"/>
          <w:sz w:val="22"/>
          <w:szCs w:val="22"/>
          <w:rtl/>
        </w:rPr>
        <w:t>האוצר - החשב הכללי</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BD0EEA">
      <w:pPr>
        <w:pStyle w:val="a3"/>
        <w:jc w:val="center"/>
        <w:rPr>
          <w:rFonts w:cs="David"/>
          <w:sz w:val="22"/>
          <w:szCs w:val="22"/>
        </w:rPr>
      </w:pPr>
      <w:r w:rsidRPr="00341C3E">
        <w:rPr>
          <w:rFonts w:cs="David"/>
          <w:sz w:val="22"/>
          <w:szCs w:val="22"/>
          <w:rtl/>
        </w:rPr>
        <w:t>ירושלים,  א' בחשוון התשמ"ט</w:t>
      </w:r>
    </w:p>
    <w:p w:rsidR="00341C3E" w:rsidRPr="00341C3E" w:rsidRDefault="00341C3E" w:rsidP="00BD0EEA">
      <w:pPr>
        <w:pStyle w:val="a3"/>
        <w:jc w:val="center"/>
        <w:rPr>
          <w:rFonts w:cs="David"/>
          <w:sz w:val="22"/>
          <w:szCs w:val="22"/>
        </w:rPr>
      </w:pPr>
      <w:r w:rsidRPr="00341C3E">
        <w:rPr>
          <w:rFonts w:cs="David"/>
          <w:sz w:val="22"/>
          <w:szCs w:val="22"/>
          <w:rtl/>
        </w:rPr>
        <w:t>10 בנובמבר  1988</w:t>
      </w:r>
    </w:p>
    <w:p w:rsidR="00341C3E" w:rsidRPr="00341C3E" w:rsidRDefault="00341C3E" w:rsidP="00BD0EEA">
      <w:pPr>
        <w:pStyle w:val="a3"/>
        <w:jc w:val="center"/>
        <w:rPr>
          <w:rFonts w:cs="David"/>
          <w:sz w:val="22"/>
          <w:szCs w:val="22"/>
        </w:rPr>
      </w:pPr>
    </w:p>
    <w:p w:rsidR="00341C3E" w:rsidRPr="00341C3E" w:rsidRDefault="00341C3E" w:rsidP="00BD0EEA">
      <w:pPr>
        <w:pStyle w:val="a3"/>
        <w:jc w:val="center"/>
        <w:rPr>
          <w:rFonts w:cs="David"/>
          <w:sz w:val="22"/>
          <w:szCs w:val="22"/>
        </w:rPr>
      </w:pPr>
      <w:r w:rsidRPr="00341C3E">
        <w:rPr>
          <w:rFonts w:cs="David"/>
          <w:sz w:val="22"/>
          <w:szCs w:val="22"/>
          <w:rtl/>
        </w:rPr>
        <w:t>15 - 777</w:t>
      </w:r>
    </w:p>
    <w:p w:rsidR="00341C3E" w:rsidRPr="00341C3E" w:rsidRDefault="00341C3E" w:rsidP="00BD0EEA">
      <w:pPr>
        <w:pStyle w:val="a3"/>
        <w:jc w:val="center"/>
        <w:rPr>
          <w:rFonts w:cs="David"/>
          <w:sz w:val="22"/>
          <w:szCs w:val="22"/>
        </w:rPr>
      </w:pPr>
      <w:r w:rsidRPr="00341C3E">
        <w:rPr>
          <w:rFonts w:cs="David"/>
          <w:sz w:val="22"/>
          <w:szCs w:val="22"/>
          <w:rtl/>
        </w:rPr>
        <w:t>חוזר מט/15</w:t>
      </w:r>
    </w:p>
    <w:p w:rsidR="00341C3E" w:rsidRPr="00341C3E" w:rsidRDefault="00341C3E" w:rsidP="00341C3E">
      <w:pPr>
        <w:pStyle w:val="a3"/>
        <w:rPr>
          <w:rFonts w:cs="David"/>
          <w:sz w:val="22"/>
          <w:szCs w:val="22"/>
        </w:rPr>
      </w:pP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אל: החשבים במשרדי הממשלה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הנדון: החזר הוצאות נסיעה בתפקיד - שינויים בתעריפים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עקב השינויים שחלו במרכיבים השונים של תעריף החזר הוצאות  רכב,  יהיו  התעריפים</w:t>
      </w:r>
    </w:p>
    <w:p w:rsidR="00341C3E" w:rsidRPr="00341C3E" w:rsidRDefault="00341C3E" w:rsidP="00341C3E">
      <w:pPr>
        <w:pStyle w:val="a3"/>
        <w:rPr>
          <w:rFonts w:cs="David"/>
          <w:sz w:val="22"/>
          <w:szCs w:val="22"/>
        </w:rPr>
      </w:pPr>
      <w:r w:rsidRPr="00341C3E">
        <w:rPr>
          <w:rFonts w:cs="David"/>
          <w:sz w:val="22"/>
          <w:szCs w:val="22"/>
          <w:rtl/>
        </w:rPr>
        <w:t xml:space="preserve">החדשים בתחולה מה-1 בנובמבר 1988 כלהלן: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1 ההוצאות הקבועות                                                         </w:t>
      </w:r>
    </w:p>
    <w:p w:rsidR="00341C3E" w:rsidRPr="00341C3E" w:rsidRDefault="00341C3E" w:rsidP="00341C3E">
      <w:pPr>
        <w:pStyle w:val="a3"/>
        <w:rPr>
          <w:rFonts w:cs="David"/>
          <w:sz w:val="22"/>
          <w:szCs w:val="22"/>
        </w:rPr>
      </w:pPr>
      <w:r w:rsidRPr="00341C3E">
        <w:rPr>
          <w:rFonts w:cs="David"/>
          <w:sz w:val="22"/>
          <w:szCs w:val="22"/>
          <w:rtl/>
        </w:rPr>
        <w:t xml:space="preserve">    ---------------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רכב שירות                                                               </w:t>
      </w:r>
    </w:p>
    <w:p w:rsidR="00341C3E" w:rsidRPr="00341C3E" w:rsidRDefault="00341C3E" w:rsidP="00341C3E">
      <w:pPr>
        <w:pStyle w:val="a3"/>
        <w:rPr>
          <w:rFonts w:cs="David"/>
          <w:sz w:val="22"/>
          <w:szCs w:val="22"/>
        </w:rPr>
      </w:pPr>
      <w:r w:rsidRPr="00341C3E">
        <w:rPr>
          <w:rFonts w:cs="David"/>
          <w:sz w:val="22"/>
          <w:szCs w:val="22"/>
          <w:rtl/>
        </w:rPr>
        <w:t xml:space="preserve">    =========                                                               </w:t>
      </w:r>
    </w:p>
    <w:p w:rsidR="00341C3E" w:rsidRPr="00341C3E" w:rsidRDefault="00341C3E" w:rsidP="00341C3E">
      <w:pPr>
        <w:pStyle w:val="a3"/>
        <w:rPr>
          <w:rFonts w:cs="David"/>
          <w:sz w:val="22"/>
          <w:szCs w:val="22"/>
        </w:rPr>
      </w:pPr>
      <w:r w:rsidRPr="00341C3E">
        <w:rPr>
          <w:rFonts w:cs="David"/>
          <w:sz w:val="22"/>
          <w:szCs w:val="22"/>
          <w:rtl/>
        </w:rPr>
        <w:t xml:space="preserve">                                                                            </w:t>
      </w:r>
    </w:p>
    <w:p w:rsidR="00B652BF" w:rsidRDefault="00B652BF" w:rsidP="00341C3E">
      <w:pPr>
        <w:pStyle w:val="a3"/>
        <w:rPr>
          <w:rFonts w:cs="David" w:hint="cs"/>
          <w:sz w:val="22"/>
          <w:szCs w:val="22"/>
          <w:rtl/>
        </w:rPr>
      </w:pPr>
    </w:p>
    <w:p w:rsidR="00B652BF" w:rsidRPr="00341C3E" w:rsidRDefault="00B652BF" w:rsidP="00B652BF">
      <w:pPr>
        <w:pStyle w:val="a3"/>
        <w:rPr>
          <w:rFonts w:cs="David"/>
          <w:sz w:val="22"/>
          <w:szCs w:val="22"/>
        </w:rPr>
      </w:pPr>
      <w:r>
        <w:rPr>
          <w:rFonts w:cs="David" w:hint="cs"/>
          <w:sz w:val="22"/>
          <w:szCs w:val="22"/>
          <w:rtl/>
        </w:rPr>
        <w:t xml:space="preserve"> </w:t>
      </w:r>
      <w:r w:rsidRPr="00341C3E">
        <w:rPr>
          <w:rFonts w:cs="David"/>
          <w:sz w:val="22"/>
          <w:szCs w:val="22"/>
          <w:rtl/>
        </w:rPr>
        <w:t xml:space="preserve">רמת ניידות </w:t>
      </w:r>
      <w:r>
        <w:rPr>
          <w:rFonts w:cs="David" w:hint="cs"/>
          <w:sz w:val="22"/>
          <w:szCs w:val="22"/>
          <w:rtl/>
        </w:rPr>
        <w:t xml:space="preserve">  </w:t>
      </w:r>
      <w:r w:rsidRPr="00341C3E">
        <w:rPr>
          <w:rFonts w:cs="David"/>
          <w:sz w:val="22"/>
          <w:szCs w:val="22"/>
          <w:rtl/>
        </w:rPr>
        <w:t>קוד</w:t>
      </w:r>
      <w:r>
        <w:rPr>
          <w:rFonts w:cs="David" w:hint="cs"/>
          <w:sz w:val="22"/>
          <w:szCs w:val="22"/>
          <w:rtl/>
        </w:rPr>
        <w:t xml:space="preserve"> </w:t>
      </w:r>
      <w:r>
        <w:rPr>
          <w:rFonts w:cs="David"/>
          <w:sz w:val="22"/>
          <w:szCs w:val="22"/>
          <w:rtl/>
        </w:rPr>
        <w:t xml:space="preserve"> דיווח       </w:t>
      </w:r>
      <w:r w:rsidRPr="00341C3E">
        <w:rPr>
          <w:rFonts w:cs="David"/>
          <w:sz w:val="22"/>
          <w:szCs w:val="22"/>
          <w:rtl/>
        </w:rPr>
        <w:t xml:space="preserve">  סכום ההוצאות הקבועות לחודש                </w:t>
      </w:r>
    </w:p>
    <w:p w:rsidR="00B652BF" w:rsidRPr="00341C3E" w:rsidRDefault="00B652BF" w:rsidP="00B652BF">
      <w:pPr>
        <w:pStyle w:val="a3"/>
        <w:rPr>
          <w:rFonts w:cs="David"/>
          <w:sz w:val="22"/>
          <w:szCs w:val="22"/>
        </w:rPr>
      </w:pPr>
      <w:r>
        <w:rPr>
          <w:rFonts w:cs="David"/>
          <w:sz w:val="22"/>
          <w:szCs w:val="22"/>
          <w:rtl/>
        </w:rPr>
        <w:t xml:space="preserve">  </w:t>
      </w:r>
      <w:r w:rsidRPr="00341C3E">
        <w:rPr>
          <w:rFonts w:cs="David"/>
          <w:sz w:val="22"/>
          <w:szCs w:val="22"/>
          <w:rtl/>
        </w:rPr>
        <w:t xml:space="preserve">---------- </w:t>
      </w:r>
      <w:r>
        <w:rPr>
          <w:rFonts w:cs="David" w:hint="cs"/>
          <w:sz w:val="22"/>
          <w:szCs w:val="22"/>
          <w:rtl/>
        </w:rPr>
        <w:t xml:space="preserve">      </w:t>
      </w:r>
      <w:r w:rsidRPr="00341C3E">
        <w:rPr>
          <w:rFonts w:cs="David"/>
          <w:sz w:val="22"/>
          <w:szCs w:val="22"/>
          <w:rtl/>
        </w:rPr>
        <w:t xml:space="preserve">---------     </w:t>
      </w:r>
      <w:r>
        <w:rPr>
          <w:rFonts w:cs="David" w:hint="cs"/>
          <w:sz w:val="22"/>
          <w:szCs w:val="22"/>
          <w:rtl/>
        </w:rPr>
        <w:t xml:space="preserve"> </w:t>
      </w:r>
      <w:r w:rsidRPr="00341C3E">
        <w:rPr>
          <w:rFonts w:cs="David"/>
          <w:sz w:val="22"/>
          <w:szCs w:val="22"/>
          <w:rtl/>
        </w:rPr>
        <w:t xml:space="preserve">     --------------------------                </w:t>
      </w:r>
    </w:p>
    <w:p w:rsidR="00B652BF" w:rsidRPr="00341C3E" w:rsidRDefault="00B652BF" w:rsidP="00B652BF">
      <w:pPr>
        <w:pStyle w:val="a3"/>
        <w:rPr>
          <w:rFonts w:cs="David"/>
          <w:sz w:val="22"/>
          <w:szCs w:val="22"/>
        </w:rPr>
      </w:pPr>
      <w:r w:rsidRPr="00341C3E">
        <w:rPr>
          <w:rFonts w:cs="David"/>
          <w:sz w:val="22"/>
          <w:szCs w:val="22"/>
          <w:rtl/>
        </w:rPr>
        <w:t xml:space="preserve">                          </w:t>
      </w:r>
      <w:r>
        <w:rPr>
          <w:rFonts w:cs="David" w:hint="cs"/>
          <w:sz w:val="22"/>
          <w:szCs w:val="22"/>
          <w:rtl/>
        </w:rPr>
        <w:tab/>
      </w:r>
      <w:r>
        <w:rPr>
          <w:rFonts w:cs="David" w:hint="cs"/>
          <w:sz w:val="22"/>
          <w:szCs w:val="22"/>
          <w:rtl/>
        </w:rPr>
        <w:tab/>
      </w:r>
      <w:r w:rsidRPr="00341C3E">
        <w:rPr>
          <w:rFonts w:cs="David"/>
          <w:sz w:val="22"/>
          <w:szCs w:val="22"/>
          <w:rtl/>
        </w:rPr>
        <w:t xml:space="preserve">        ברוטו        </w:t>
      </w:r>
      <w:r>
        <w:rPr>
          <w:rFonts w:cs="David" w:hint="cs"/>
          <w:sz w:val="22"/>
          <w:szCs w:val="22"/>
          <w:rtl/>
        </w:rPr>
        <w:tab/>
      </w:r>
      <w:r w:rsidRPr="00341C3E">
        <w:rPr>
          <w:rFonts w:cs="David"/>
          <w:sz w:val="22"/>
          <w:szCs w:val="22"/>
          <w:rtl/>
        </w:rPr>
        <w:t xml:space="preserve">      </w:t>
      </w:r>
      <w:r>
        <w:rPr>
          <w:rFonts w:cs="David" w:hint="cs"/>
          <w:sz w:val="22"/>
          <w:szCs w:val="22"/>
          <w:rtl/>
        </w:rPr>
        <w:tab/>
      </w:r>
      <w:r w:rsidRPr="00341C3E">
        <w:rPr>
          <w:rFonts w:cs="David"/>
          <w:sz w:val="22"/>
          <w:szCs w:val="22"/>
          <w:rtl/>
        </w:rPr>
        <w:t xml:space="preserve"> </w:t>
      </w:r>
      <w:r>
        <w:rPr>
          <w:rFonts w:cs="David" w:hint="cs"/>
          <w:sz w:val="22"/>
          <w:szCs w:val="22"/>
          <w:rtl/>
        </w:rPr>
        <w:tab/>
        <w:t xml:space="preserve"> </w:t>
      </w:r>
      <w:r w:rsidRPr="00341C3E">
        <w:rPr>
          <w:rFonts w:cs="David"/>
          <w:sz w:val="22"/>
          <w:szCs w:val="22"/>
          <w:rtl/>
        </w:rPr>
        <w:t xml:space="preserve"> נטו                  </w:t>
      </w:r>
    </w:p>
    <w:p w:rsidR="00B652BF" w:rsidRPr="00341C3E" w:rsidRDefault="00B652BF" w:rsidP="00B652BF">
      <w:pPr>
        <w:pStyle w:val="a3"/>
        <w:rPr>
          <w:rFonts w:cs="David"/>
          <w:sz w:val="22"/>
          <w:szCs w:val="22"/>
        </w:rPr>
      </w:pPr>
      <w:r w:rsidRPr="00341C3E">
        <w:rPr>
          <w:rFonts w:cs="David"/>
          <w:sz w:val="22"/>
          <w:szCs w:val="22"/>
          <w:rtl/>
        </w:rPr>
        <w:t xml:space="preserve">                             </w:t>
      </w:r>
      <w:r>
        <w:rPr>
          <w:rFonts w:cs="David" w:hint="cs"/>
          <w:sz w:val="22"/>
          <w:szCs w:val="22"/>
          <w:rtl/>
        </w:rPr>
        <w:tab/>
      </w:r>
      <w:r>
        <w:rPr>
          <w:rFonts w:cs="David" w:hint="cs"/>
          <w:sz w:val="22"/>
          <w:szCs w:val="22"/>
          <w:rtl/>
        </w:rPr>
        <w:tab/>
        <w:t xml:space="preserve">   </w:t>
      </w:r>
      <w:r w:rsidRPr="00341C3E">
        <w:rPr>
          <w:rFonts w:cs="David"/>
          <w:sz w:val="22"/>
          <w:szCs w:val="22"/>
          <w:rtl/>
        </w:rPr>
        <w:t xml:space="preserve">     -----             </w:t>
      </w:r>
      <w:r>
        <w:rPr>
          <w:rFonts w:cs="David" w:hint="cs"/>
          <w:sz w:val="22"/>
          <w:szCs w:val="22"/>
          <w:rtl/>
        </w:rPr>
        <w:t xml:space="preserve"> </w:t>
      </w:r>
      <w:r>
        <w:rPr>
          <w:rFonts w:cs="David" w:hint="cs"/>
          <w:sz w:val="22"/>
          <w:szCs w:val="22"/>
          <w:rtl/>
        </w:rPr>
        <w:tab/>
      </w:r>
      <w:r>
        <w:rPr>
          <w:rFonts w:cs="David" w:hint="cs"/>
          <w:sz w:val="22"/>
          <w:szCs w:val="22"/>
          <w:rtl/>
        </w:rPr>
        <w:tab/>
      </w:r>
      <w:r w:rsidRPr="00341C3E">
        <w:rPr>
          <w:rFonts w:cs="David"/>
          <w:sz w:val="22"/>
          <w:szCs w:val="22"/>
          <w:rtl/>
        </w:rPr>
        <w:t xml:space="preserve">  </w:t>
      </w:r>
      <w:r>
        <w:rPr>
          <w:rFonts w:cs="David" w:hint="cs"/>
          <w:sz w:val="22"/>
          <w:szCs w:val="22"/>
          <w:rtl/>
        </w:rPr>
        <w:t xml:space="preserve">            </w:t>
      </w:r>
      <w:r w:rsidRPr="00341C3E">
        <w:rPr>
          <w:rFonts w:cs="David"/>
          <w:sz w:val="22"/>
          <w:szCs w:val="22"/>
          <w:rtl/>
        </w:rPr>
        <w:t xml:space="preserve"> </w:t>
      </w:r>
      <w:r>
        <w:rPr>
          <w:rFonts w:cs="David" w:hint="cs"/>
          <w:sz w:val="22"/>
          <w:szCs w:val="22"/>
          <w:rtl/>
        </w:rPr>
        <w:t xml:space="preserve">  </w:t>
      </w:r>
      <w:r w:rsidRPr="00341C3E">
        <w:rPr>
          <w:rFonts w:cs="David"/>
          <w:sz w:val="22"/>
          <w:szCs w:val="22"/>
          <w:rtl/>
        </w:rPr>
        <w:t xml:space="preserve">---                  </w:t>
      </w:r>
    </w:p>
    <w:p w:rsidR="00B652BF" w:rsidRPr="00341C3E" w:rsidRDefault="00B652BF" w:rsidP="00B652BF">
      <w:pPr>
        <w:pStyle w:val="a3"/>
        <w:rPr>
          <w:rFonts w:cs="David"/>
          <w:sz w:val="22"/>
          <w:szCs w:val="22"/>
        </w:rPr>
      </w:pPr>
      <w:r w:rsidRPr="00341C3E">
        <w:rPr>
          <w:rFonts w:cs="David"/>
          <w:sz w:val="22"/>
          <w:szCs w:val="22"/>
          <w:rtl/>
        </w:rPr>
        <w:t xml:space="preserve">                          </w:t>
      </w:r>
      <w:r>
        <w:rPr>
          <w:rFonts w:cs="David" w:hint="cs"/>
          <w:sz w:val="22"/>
          <w:szCs w:val="22"/>
          <w:rtl/>
        </w:rPr>
        <w:tab/>
      </w:r>
      <w:r>
        <w:rPr>
          <w:rFonts w:cs="David" w:hint="cs"/>
          <w:sz w:val="22"/>
          <w:szCs w:val="22"/>
          <w:rtl/>
        </w:rPr>
        <w:tab/>
      </w:r>
      <w:r w:rsidRPr="00341C3E">
        <w:rPr>
          <w:rFonts w:cs="David"/>
          <w:sz w:val="22"/>
          <w:szCs w:val="22"/>
          <w:rtl/>
        </w:rPr>
        <w:t xml:space="preserve">  (סמל מחשב: 0700)     </w:t>
      </w:r>
      <w:r>
        <w:rPr>
          <w:rFonts w:cs="David" w:hint="cs"/>
          <w:sz w:val="22"/>
          <w:szCs w:val="22"/>
          <w:rtl/>
        </w:rPr>
        <w:tab/>
      </w:r>
      <w:r>
        <w:rPr>
          <w:rFonts w:cs="David" w:hint="cs"/>
          <w:sz w:val="22"/>
          <w:szCs w:val="22"/>
          <w:rtl/>
        </w:rPr>
        <w:tab/>
      </w:r>
      <w:r w:rsidRPr="00341C3E">
        <w:rPr>
          <w:rFonts w:cs="David"/>
          <w:sz w:val="22"/>
          <w:szCs w:val="22"/>
          <w:rtl/>
        </w:rPr>
        <w:t xml:space="preserve"> (סמל מחשב: 0750)          </w:t>
      </w:r>
    </w:p>
    <w:p w:rsidR="00B652BF" w:rsidRPr="00341C3E" w:rsidRDefault="00B652BF" w:rsidP="00B652BF">
      <w:pPr>
        <w:pStyle w:val="a3"/>
        <w:rPr>
          <w:rFonts w:cs="David"/>
          <w:sz w:val="22"/>
          <w:szCs w:val="22"/>
        </w:rPr>
      </w:pPr>
      <w:r w:rsidRPr="00341C3E">
        <w:rPr>
          <w:rFonts w:cs="David"/>
          <w:sz w:val="22"/>
          <w:szCs w:val="22"/>
          <w:rtl/>
        </w:rPr>
        <w:t xml:space="preserve">                                                                            </w:t>
      </w:r>
    </w:p>
    <w:p w:rsidR="00B652BF" w:rsidRPr="00341C3E" w:rsidRDefault="00B652BF" w:rsidP="00B652BF">
      <w:pPr>
        <w:pStyle w:val="a3"/>
        <w:rPr>
          <w:rFonts w:cs="David"/>
          <w:sz w:val="22"/>
          <w:szCs w:val="22"/>
        </w:rPr>
      </w:pPr>
      <w:r w:rsidRPr="00341C3E">
        <w:rPr>
          <w:rFonts w:cs="David"/>
          <w:sz w:val="22"/>
          <w:szCs w:val="22"/>
          <w:rtl/>
        </w:rPr>
        <w:t xml:space="preserve">   </w:t>
      </w:r>
      <w:r>
        <w:rPr>
          <w:rFonts w:cs="David" w:hint="cs"/>
          <w:sz w:val="22"/>
          <w:szCs w:val="22"/>
          <w:rtl/>
        </w:rPr>
        <w:t xml:space="preserve">   </w:t>
      </w:r>
      <w:r w:rsidRPr="00341C3E">
        <w:rPr>
          <w:rFonts w:cs="David"/>
          <w:sz w:val="22"/>
          <w:szCs w:val="22"/>
          <w:rtl/>
        </w:rPr>
        <w:t xml:space="preserve">    א     </w:t>
      </w:r>
      <w:r>
        <w:rPr>
          <w:rFonts w:cs="David" w:hint="cs"/>
          <w:sz w:val="22"/>
          <w:szCs w:val="22"/>
          <w:rtl/>
        </w:rPr>
        <w:t xml:space="preserve">         </w:t>
      </w:r>
      <w:r w:rsidRPr="00341C3E">
        <w:rPr>
          <w:rFonts w:cs="David"/>
          <w:sz w:val="22"/>
          <w:szCs w:val="22"/>
          <w:rtl/>
        </w:rPr>
        <w:t xml:space="preserve">   31  </w:t>
      </w:r>
      <w:r>
        <w:rPr>
          <w:rFonts w:cs="David" w:hint="cs"/>
          <w:sz w:val="22"/>
          <w:szCs w:val="22"/>
          <w:rtl/>
        </w:rPr>
        <w:t xml:space="preserve">        </w:t>
      </w:r>
      <w:r w:rsidRPr="00341C3E">
        <w:rPr>
          <w:rFonts w:cs="David"/>
          <w:sz w:val="22"/>
          <w:szCs w:val="22"/>
          <w:rtl/>
        </w:rPr>
        <w:t xml:space="preserve"> 144.08 ש"ח (במקום 127.69)</w:t>
      </w:r>
      <w:r>
        <w:rPr>
          <w:rFonts w:cs="David" w:hint="cs"/>
          <w:sz w:val="22"/>
          <w:szCs w:val="22"/>
          <w:rtl/>
        </w:rPr>
        <w:t xml:space="preserve">     </w:t>
      </w:r>
      <w:r w:rsidRPr="00341C3E">
        <w:rPr>
          <w:rFonts w:cs="David"/>
          <w:sz w:val="22"/>
          <w:szCs w:val="22"/>
          <w:rtl/>
        </w:rPr>
        <w:t xml:space="preserve"> 69.38  ש"ח (במקום 61.61 )</w:t>
      </w:r>
    </w:p>
    <w:p w:rsidR="00B652BF" w:rsidRPr="00341C3E" w:rsidRDefault="00B652BF" w:rsidP="00B652BF">
      <w:pPr>
        <w:pStyle w:val="a3"/>
        <w:rPr>
          <w:rFonts w:cs="David"/>
          <w:sz w:val="22"/>
          <w:szCs w:val="22"/>
        </w:rPr>
      </w:pPr>
      <w:r w:rsidRPr="00341C3E">
        <w:rPr>
          <w:rFonts w:cs="David"/>
          <w:sz w:val="22"/>
          <w:szCs w:val="22"/>
          <w:rtl/>
        </w:rPr>
        <w:t xml:space="preserve">       </w:t>
      </w:r>
      <w:r>
        <w:rPr>
          <w:rFonts w:cs="David" w:hint="cs"/>
          <w:sz w:val="22"/>
          <w:szCs w:val="22"/>
          <w:rtl/>
        </w:rPr>
        <w:t xml:space="preserve">   </w:t>
      </w:r>
      <w:r w:rsidRPr="00341C3E">
        <w:rPr>
          <w:rFonts w:cs="David"/>
          <w:sz w:val="22"/>
          <w:szCs w:val="22"/>
          <w:rtl/>
        </w:rPr>
        <w:t xml:space="preserve">ב      </w:t>
      </w:r>
      <w:r>
        <w:rPr>
          <w:rFonts w:cs="David" w:hint="cs"/>
          <w:sz w:val="22"/>
          <w:szCs w:val="22"/>
          <w:rtl/>
        </w:rPr>
        <w:t xml:space="preserve">        </w:t>
      </w:r>
      <w:r w:rsidRPr="00341C3E">
        <w:rPr>
          <w:rFonts w:cs="David"/>
          <w:sz w:val="22"/>
          <w:szCs w:val="22"/>
          <w:rtl/>
        </w:rPr>
        <w:t xml:space="preserve">   32    </w:t>
      </w:r>
      <w:r>
        <w:rPr>
          <w:rFonts w:cs="David" w:hint="cs"/>
          <w:sz w:val="22"/>
          <w:szCs w:val="22"/>
          <w:rtl/>
        </w:rPr>
        <w:t xml:space="preserve">      </w:t>
      </w:r>
      <w:r w:rsidRPr="00341C3E">
        <w:rPr>
          <w:rFonts w:cs="David"/>
          <w:sz w:val="22"/>
          <w:szCs w:val="22"/>
          <w:rtl/>
        </w:rPr>
        <w:t xml:space="preserve">  199.58 ש"ח ( "    176.98)</w:t>
      </w:r>
      <w:r>
        <w:rPr>
          <w:rFonts w:cs="David" w:hint="cs"/>
          <w:sz w:val="22"/>
          <w:szCs w:val="22"/>
          <w:rtl/>
        </w:rPr>
        <w:t xml:space="preserve">          </w:t>
      </w:r>
      <w:r w:rsidRPr="00341C3E">
        <w:rPr>
          <w:rFonts w:cs="David"/>
          <w:sz w:val="22"/>
          <w:szCs w:val="22"/>
          <w:rtl/>
        </w:rPr>
        <w:t xml:space="preserve"> 97.13  ש"ח ( "    86.26 )</w:t>
      </w:r>
    </w:p>
    <w:p w:rsidR="00B652BF" w:rsidRPr="00341C3E" w:rsidRDefault="00B652BF" w:rsidP="00B652BF">
      <w:pPr>
        <w:pStyle w:val="a3"/>
        <w:rPr>
          <w:rFonts w:cs="David"/>
          <w:sz w:val="22"/>
          <w:szCs w:val="22"/>
        </w:rPr>
      </w:pPr>
      <w:r w:rsidRPr="00341C3E">
        <w:rPr>
          <w:rFonts w:cs="David"/>
          <w:sz w:val="22"/>
          <w:szCs w:val="22"/>
          <w:rtl/>
        </w:rPr>
        <w:t xml:space="preserve">       </w:t>
      </w:r>
      <w:r>
        <w:rPr>
          <w:rFonts w:cs="David" w:hint="cs"/>
          <w:sz w:val="22"/>
          <w:szCs w:val="22"/>
          <w:rtl/>
        </w:rPr>
        <w:t xml:space="preserve">   </w:t>
      </w:r>
      <w:r w:rsidRPr="00341C3E">
        <w:rPr>
          <w:rFonts w:cs="David"/>
          <w:sz w:val="22"/>
          <w:szCs w:val="22"/>
          <w:rtl/>
        </w:rPr>
        <w:t xml:space="preserve">ג        </w:t>
      </w:r>
      <w:r>
        <w:rPr>
          <w:rFonts w:cs="David" w:hint="cs"/>
          <w:sz w:val="22"/>
          <w:szCs w:val="22"/>
          <w:rtl/>
        </w:rPr>
        <w:t xml:space="preserve">         </w:t>
      </w:r>
      <w:r w:rsidRPr="00341C3E">
        <w:rPr>
          <w:rFonts w:cs="David"/>
          <w:sz w:val="22"/>
          <w:szCs w:val="22"/>
          <w:rtl/>
        </w:rPr>
        <w:t xml:space="preserve"> 33     </w:t>
      </w:r>
      <w:r>
        <w:rPr>
          <w:rFonts w:cs="David" w:hint="cs"/>
          <w:sz w:val="22"/>
          <w:szCs w:val="22"/>
          <w:rtl/>
        </w:rPr>
        <w:t xml:space="preserve">     </w:t>
      </w:r>
      <w:r w:rsidRPr="00341C3E">
        <w:rPr>
          <w:rFonts w:cs="David"/>
          <w:sz w:val="22"/>
          <w:szCs w:val="22"/>
          <w:rtl/>
        </w:rPr>
        <w:t xml:space="preserve"> 255.08 ש"ח ( "    226.27) </w:t>
      </w:r>
      <w:r>
        <w:rPr>
          <w:rFonts w:cs="David" w:hint="cs"/>
          <w:sz w:val="22"/>
          <w:szCs w:val="22"/>
          <w:rtl/>
        </w:rPr>
        <w:t xml:space="preserve">           </w:t>
      </w:r>
      <w:r w:rsidRPr="00341C3E">
        <w:rPr>
          <w:rFonts w:cs="David"/>
          <w:sz w:val="22"/>
          <w:szCs w:val="22"/>
          <w:rtl/>
        </w:rPr>
        <w:t>124.88 ש"ח ( "    110.90)</w:t>
      </w:r>
    </w:p>
    <w:p w:rsidR="00B652BF" w:rsidRPr="00341C3E" w:rsidRDefault="00B652BF" w:rsidP="00B652BF">
      <w:pPr>
        <w:pStyle w:val="a3"/>
        <w:rPr>
          <w:rFonts w:cs="David"/>
          <w:sz w:val="22"/>
          <w:szCs w:val="22"/>
        </w:rPr>
      </w:pPr>
      <w:r w:rsidRPr="00341C3E">
        <w:rPr>
          <w:rFonts w:cs="David"/>
          <w:sz w:val="22"/>
          <w:szCs w:val="22"/>
          <w:rtl/>
        </w:rPr>
        <w:t xml:space="preserve">       </w:t>
      </w:r>
      <w:r>
        <w:rPr>
          <w:rFonts w:cs="David" w:hint="cs"/>
          <w:sz w:val="22"/>
          <w:szCs w:val="22"/>
          <w:rtl/>
        </w:rPr>
        <w:t xml:space="preserve">   </w:t>
      </w:r>
      <w:r w:rsidRPr="00341C3E">
        <w:rPr>
          <w:rFonts w:cs="David"/>
          <w:sz w:val="22"/>
          <w:szCs w:val="22"/>
          <w:rtl/>
        </w:rPr>
        <w:t xml:space="preserve">ד       </w:t>
      </w:r>
      <w:r>
        <w:rPr>
          <w:rFonts w:cs="David" w:hint="cs"/>
          <w:sz w:val="22"/>
          <w:szCs w:val="22"/>
          <w:rtl/>
        </w:rPr>
        <w:t xml:space="preserve">        </w:t>
      </w:r>
      <w:r w:rsidRPr="00341C3E">
        <w:rPr>
          <w:rFonts w:cs="David"/>
          <w:sz w:val="22"/>
          <w:szCs w:val="22"/>
          <w:rtl/>
        </w:rPr>
        <w:t xml:space="preserve">  34   </w:t>
      </w:r>
      <w:r>
        <w:rPr>
          <w:rFonts w:cs="David" w:hint="cs"/>
          <w:sz w:val="22"/>
          <w:szCs w:val="22"/>
          <w:rtl/>
        </w:rPr>
        <w:t xml:space="preserve">     </w:t>
      </w:r>
      <w:r w:rsidRPr="00341C3E">
        <w:rPr>
          <w:rFonts w:cs="David"/>
          <w:sz w:val="22"/>
          <w:szCs w:val="22"/>
          <w:rtl/>
        </w:rPr>
        <w:t xml:space="preserve">   301.33 ש"ח ( "    267.34)</w:t>
      </w:r>
      <w:r>
        <w:rPr>
          <w:rFonts w:cs="David" w:hint="cs"/>
          <w:sz w:val="22"/>
          <w:szCs w:val="22"/>
          <w:rtl/>
        </w:rPr>
        <w:t xml:space="preserve">           </w:t>
      </w:r>
      <w:r w:rsidRPr="00341C3E">
        <w:rPr>
          <w:rFonts w:cs="David"/>
          <w:sz w:val="22"/>
          <w:szCs w:val="22"/>
          <w:rtl/>
        </w:rPr>
        <w:t xml:space="preserve"> 148.00 ש"ח ( "    131.44)</w:t>
      </w:r>
    </w:p>
    <w:p w:rsidR="00B652BF" w:rsidRDefault="00B652BF" w:rsidP="00341C3E">
      <w:pPr>
        <w:pStyle w:val="a3"/>
        <w:rPr>
          <w:rFonts w:cs="David" w:hint="cs"/>
          <w:sz w:val="22"/>
          <w:szCs w:val="22"/>
          <w:rtl/>
        </w:rPr>
      </w:pPr>
    </w:p>
    <w:p w:rsidR="00B652BF" w:rsidRPr="00341C3E" w:rsidRDefault="00B652BF" w:rsidP="00341C3E">
      <w:pPr>
        <w:pStyle w:val="a3"/>
        <w:rPr>
          <w:rFonts w:cs="David" w:hint="cs"/>
          <w:sz w:val="22"/>
          <w:szCs w:val="22"/>
        </w:rPr>
      </w:pPr>
    </w:p>
    <w:p w:rsidR="00341C3E" w:rsidRPr="00341C3E" w:rsidRDefault="00341C3E" w:rsidP="00341C3E">
      <w:pPr>
        <w:pStyle w:val="a3"/>
        <w:rPr>
          <w:rFonts w:cs="David"/>
          <w:sz w:val="22"/>
          <w:szCs w:val="22"/>
        </w:rPr>
      </w:pPr>
      <w:r w:rsidRPr="00341C3E">
        <w:rPr>
          <w:rFonts w:cs="David"/>
          <w:sz w:val="22"/>
          <w:szCs w:val="22"/>
          <w:rtl/>
        </w:rPr>
        <w:t xml:space="preserve">    בסכום ההוצאות ברוטו נכללה ההשתתפות בדמי חניה בסך של 5.30 ש"ח ברוטו.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Default="00341C3E" w:rsidP="00341C3E">
      <w:pPr>
        <w:pStyle w:val="a3"/>
        <w:rPr>
          <w:rFonts w:cs="David" w:hint="cs"/>
          <w:sz w:val="22"/>
          <w:szCs w:val="22"/>
          <w:rtl/>
        </w:rPr>
      </w:pPr>
    </w:p>
    <w:p w:rsidR="00B652BF" w:rsidRPr="00341C3E" w:rsidRDefault="00B652BF" w:rsidP="00B652BF">
      <w:pPr>
        <w:pStyle w:val="a3"/>
        <w:rPr>
          <w:rFonts w:cs="David"/>
          <w:sz w:val="22"/>
          <w:szCs w:val="22"/>
        </w:rPr>
      </w:pPr>
      <w:r w:rsidRPr="00341C3E">
        <w:rPr>
          <w:rFonts w:cs="David"/>
          <w:sz w:val="22"/>
          <w:szCs w:val="22"/>
          <w:rtl/>
        </w:rPr>
        <w:t xml:space="preserve">    רכב אישי                                                                </w:t>
      </w:r>
    </w:p>
    <w:p w:rsidR="00B652BF" w:rsidRPr="00341C3E" w:rsidRDefault="00B652BF" w:rsidP="00B652BF">
      <w:pPr>
        <w:pStyle w:val="a3"/>
        <w:rPr>
          <w:rFonts w:cs="David"/>
          <w:sz w:val="22"/>
          <w:szCs w:val="22"/>
        </w:rPr>
      </w:pPr>
      <w:r w:rsidRPr="00341C3E">
        <w:rPr>
          <w:rFonts w:cs="David"/>
          <w:sz w:val="22"/>
          <w:szCs w:val="22"/>
          <w:rtl/>
        </w:rPr>
        <w:t xml:space="preserve">    ========                                                                </w:t>
      </w:r>
    </w:p>
    <w:p w:rsidR="00B652BF" w:rsidRPr="00341C3E" w:rsidRDefault="00B652BF" w:rsidP="00B652BF">
      <w:pPr>
        <w:pStyle w:val="a3"/>
        <w:rPr>
          <w:rFonts w:cs="David"/>
          <w:sz w:val="22"/>
          <w:szCs w:val="22"/>
        </w:rPr>
      </w:pPr>
      <w:r w:rsidRPr="00341C3E">
        <w:rPr>
          <w:rFonts w:cs="David"/>
          <w:sz w:val="22"/>
          <w:szCs w:val="22"/>
          <w:rtl/>
        </w:rPr>
        <w:t xml:space="preserve">                                                                            </w:t>
      </w:r>
    </w:p>
    <w:p w:rsidR="00B652BF" w:rsidRPr="00341C3E" w:rsidRDefault="00B652BF" w:rsidP="00B652BF">
      <w:pPr>
        <w:pStyle w:val="a3"/>
        <w:rPr>
          <w:rFonts w:cs="David"/>
          <w:sz w:val="22"/>
          <w:szCs w:val="22"/>
        </w:rPr>
      </w:pPr>
      <w:r w:rsidRPr="00341C3E">
        <w:rPr>
          <w:rFonts w:cs="David"/>
          <w:sz w:val="22"/>
          <w:szCs w:val="22"/>
          <w:rtl/>
        </w:rPr>
        <w:t xml:space="preserve">    רמת ניידות</w:t>
      </w:r>
      <w:r>
        <w:rPr>
          <w:rFonts w:cs="David" w:hint="cs"/>
          <w:sz w:val="22"/>
          <w:szCs w:val="22"/>
          <w:rtl/>
        </w:rPr>
        <w:tab/>
      </w:r>
      <w:r w:rsidRPr="00341C3E">
        <w:rPr>
          <w:rFonts w:cs="David"/>
          <w:sz w:val="22"/>
          <w:szCs w:val="22"/>
          <w:rtl/>
        </w:rPr>
        <w:t xml:space="preserve"> קוד דיווח          סכום ההוצאות הקבועות לחודש                </w:t>
      </w:r>
    </w:p>
    <w:p w:rsidR="00B652BF" w:rsidRPr="00341C3E" w:rsidRDefault="00B652BF" w:rsidP="00B652BF">
      <w:pPr>
        <w:pStyle w:val="a3"/>
        <w:rPr>
          <w:rFonts w:cs="David"/>
          <w:sz w:val="22"/>
          <w:szCs w:val="22"/>
        </w:rPr>
      </w:pPr>
      <w:r w:rsidRPr="00341C3E">
        <w:rPr>
          <w:rFonts w:cs="David"/>
          <w:sz w:val="22"/>
          <w:szCs w:val="22"/>
          <w:rtl/>
        </w:rPr>
        <w:t xml:space="preserve">    ----------</w:t>
      </w:r>
      <w:r>
        <w:rPr>
          <w:rFonts w:cs="David" w:hint="cs"/>
          <w:sz w:val="22"/>
          <w:szCs w:val="22"/>
          <w:rtl/>
        </w:rPr>
        <w:tab/>
      </w:r>
      <w:r w:rsidRPr="00341C3E">
        <w:rPr>
          <w:rFonts w:cs="David"/>
          <w:sz w:val="22"/>
          <w:szCs w:val="22"/>
          <w:rtl/>
        </w:rPr>
        <w:t xml:space="preserve"> ---------          --------------------------                </w:t>
      </w:r>
    </w:p>
    <w:p w:rsidR="00B652BF" w:rsidRPr="00341C3E" w:rsidRDefault="00B652BF" w:rsidP="00B652BF">
      <w:pPr>
        <w:pStyle w:val="a3"/>
        <w:rPr>
          <w:rFonts w:cs="David"/>
          <w:sz w:val="22"/>
          <w:szCs w:val="22"/>
        </w:rPr>
      </w:pPr>
      <w:r w:rsidRPr="00341C3E">
        <w:rPr>
          <w:rFonts w:cs="David"/>
          <w:sz w:val="22"/>
          <w:szCs w:val="22"/>
          <w:rtl/>
        </w:rPr>
        <w:t xml:space="preserve">                               </w:t>
      </w:r>
      <w:r>
        <w:rPr>
          <w:rFonts w:cs="David" w:hint="cs"/>
          <w:sz w:val="22"/>
          <w:szCs w:val="22"/>
          <w:rtl/>
        </w:rPr>
        <w:tab/>
      </w:r>
      <w:r>
        <w:rPr>
          <w:rFonts w:cs="David" w:hint="cs"/>
          <w:sz w:val="22"/>
          <w:szCs w:val="22"/>
          <w:rtl/>
        </w:rPr>
        <w:tab/>
      </w:r>
      <w:r w:rsidRPr="00341C3E">
        <w:rPr>
          <w:rFonts w:cs="David"/>
          <w:sz w:val="22"/>
          <w:szCs w:val="22"/>
          <w:rtl/>
        </w:rPr>
        <w:t xml:space="preserve">   ברוטו               </w:t>
      </w:r>
      <w:r>
        <w:rPr>
          <w:rFonts w:cs="David" w:hint="cs"/>
          <w:sz w:val="22"/>
          <w:szCs w:val="22"/>
          <w:rtl/>
        </w:rPr>
        <w:tab/>
      </w:r>
      <w:r>
        <w:rPr>
          <w:rFonts w:cs="David" w:hint="cs"/>
          <w:sz w:val="22"/>
          <w:szCs w:val="22"/>
          <w:rtl/>
        </w:rPr>
        <w:tab/>
      </w:r>
      <w:r w:rsidRPr="00341C3E">
        <w:rPr>
          <w:rFonts w:cs="David"/>
          <w:sz w:val="22"/>
          <w:szCs w:val="22"/>
          <w:rtl/>
        </w:rPr>
        <w:t xml:space="preserve"> נטו                  </w:t>
      </w:r>
    </w:p>
    <w:p w:rsidR="00B652BF" w:rsidRPr="00341C3E" w:rsidRDefault="00B652BF" w:rsidP="00B652BF">
      <w:pPr>
        <w:pStyle w:val="a3"/>
        <w:rPr>
          <w:rFonts w:cs="David"/>
          <w:sz w:val="22"/>
          <w:szCs w:val="22"/>
        </w:rPr>
      </w:pPr>
      <w:r w:rsidRPr="00341C3E">
        <w:rPr>
          <w:rFonts w:cs="David"/>
          <w:sz w:val="22"/>
          <w:szCs w:val="22"/>
          <w:rtl/>
        </w:rPr>
        <w:lastRenderedPageBreak/>
        <w:t xml:space="preserve">                              </w:t>
      </w:r>
      <w:r>
        <w:rPr>
          <w:rFonts w:cs="David" w:hint="cs"/>
          <w:sz w:val="22"/>
          <w:szCs w:val="22"/>
          <w:rtl/>
        </w:rPr>
        <w:tab/>
      </w:r>
      <w:r>
        <w:rPr>
          <w:rFonts w:cs="David" w:hint="cs"/>
          <w:sz w:val="22"/>
          <w:szCs w:val="22"/>
          <w:rtl/>
        </w:rPr>
        <w:tab/>
      </w:r>
      <w:r w:rsidRPr="00341C3E">
        <w:rPr>
          <w:rFonts w:cs="David"/>
          <w:sz w:val="22"/>
          <w:szCs w:val="22"/>
          <w:rtl/>
        </w:rPr>
        <w:t xml:space="preserve">    -----                </w:t>
      </w:r>
      <w:r>
        <w:rPr>
          <w:rFonts w:cs="David" w:hint="cs"/>
          <w:sz w:val="22"/>
          <w:szCs w:val="22"/>
          <w:rtl/>
        </w:rPr>
        <w:tab/>
      </w:r>
      <w:r>
        <w:rPr>
          <w:rFonts w:cs="David" w:hint="cs"/>
          <w:sz w:val="22"/>
          <w:szCs w:val="22"/>
          <w:rtl/>
        </w:rPr>
        <w:tab/>
        <w:t xml:space="preserve"> </w:t>
      </w:r>
      <w:r w:rsidRPr="00341C3E">
        <w:rPr>
          <w:rFonts w:cs="David"/>
          <w:sz w:val="22"/>
          <w:szCs w:val="22"/>
          <w:rtl/>
        </w:rPr>
        <w:t xml:space="preserve">---                  </w:t>
      </w:r>
    </w:p>
    <w:p w:rsidR="00B652BF" w:rsidRPr="00341C3E" w:rsidRDefault="00B652BF" w:rsidP="00B652BF">
      <w:pPr>
        <w:pStyle w:val="a3"/>
        <w:rPr>
          <w:rFonts w:cs="David"/>
          <w:sz w:val="22"/>
          <w:szCs w:val="22"/>
        </w:rPr>
      </w:pPr>
      <w:r w:rsidRPr="00341C3E">
        <w:rPr>
          <w:rFonts w:cs="David"/>
          <w:sz w:val="22"/>
          <w:szCs w:val="22"/>
          <w:rtl/>
        </w:rPr>
        <w:t xml:space="preserve">                                                                            </w:t>
      </w:r>
    </w:p>
    <w:p w:rsidR="00B652BF" w:rsidRPr="00341C3E" w:rsidRDefault="00B652BF" w:rsidP="00B652BF">
      <w:pPr>
        <w:pStyle w:val="a3"/>
        <w:rPr>
          <w:rFonts w:cs="David"/>
          <w:sz w:val="22"/>
          <w:szCs w:val="22"/>
        </w:rPr>
      </w:pPr>
      <w:r w:rsidRPr="00341C3E">
        <w:rPr>
          <w:rFonts w:cs="David"/>
          <w:sz w:val="22"/>
          <w:szCs w:val="22"/>
          <w:rtl/>
        </w:rPr>
        <w:t xml:space="preserve">       1    </w:t>
      </w:r>
      <w:r>
        <w:rPr>
          <w:rFonts w:cs="David" w:hint="cs"/>
          <w:sz w:val="22"/>
          <w:szCs w:val="22"/>
          <w:rtl/>
        </w:rPr>
        <w:tab/>
      </w:r>
      <w:r>
        <w:rPr>
          <w:rFonts w:cs="David" w:hint="cs"/>
          <w:sz w:val="22"/>
          <w:szCs w:val="22"/>
          <w:rtl/>
        </w:rPr>
        <w:tab/>
      </w:r>
      <w:r w:rsidRPr="00341C3E">
        <w:rPr>
          <w:rFonts w:cs="David"/>
          <w:sz w:val="22"/>
          <w:szCs w:val="22"/>
          <w:rtl/>
        </w:rPr>
        <w:t xml:space="preserve">     11   </w:t>
      </w:r>
      <w:r>
        <w:rPr>
          <w:rFonts w:cs="David" w:hint="cs"/>
          <w:sz w:val="22"/>
          <w:szCs w:val="22"/>
          <w:rtl/>
        </w:rPr>
        <w:tab/>
        <w:t xml:space="preserve">       </w:t>
      </w:r>
      <w:r w:rsidRPr="00341C3E">
        <w:rPr>
          <w:rFonts w:cs="David"/>
          <w:sz w:val="22"/>
          <w:szCs w:val="22"/>
          <w:rtl/>
        </w:rPr>
        <w:t xml:space="preserve">   32.38  ש"ח (במקום 28.75)</w:t>
      </w:r>
      <w:r>
        <w:rPr>
          <w:rFonts w:cs="David" w:hint="cs"/>
          <w:sz w:val="22"/>
          <w:szCs w:val="22"/>
          <w:rtl/>
        </w:rPr>
        <w:t xml:space="preserve"> </w:t>
      </w:r>
      <w:r w:rsidRPr="00341C3E">
        <w:rPr>
          <w:rFonts w:cs="David"/>
          <w:sz w:val="22"/>
          <w:szCs w:val="22"/>
          <w:rtl/>
        </w:rPr>
        <w:t xml:space="preserve">  16.18  ש"ח (במקום 14.38) </w:t>
      </w:r>
    </w:p>
    <w:p w:rsidR="00B652BF" w:rsidRPr="00341C3E" w:rsidRDefault="00B652BF" w:rsidP="00B652BF">
      <w:pPr>
        <w:pStyle w:val="a3"/>
        <w:rPr>
          <w:rFonts w:cs="David"/>
          <w:sz w:val="22"/>
          <w:szCs w:val="22"/>
        </w:rPr>
      </w:pPr>
      <w:r w:rsidRPr="00341C3E">
        <w:rPr>
          <w:rFonts w:cs="David"/>
          <w:sz w:val="22"/>
          <w:szCs w:val="22"/>
          <w:rtl/>
        </w:rPr>
        <w:t xml:space="preserve">       2    </w:t>
      </w:r>
      <w:r>
        <w:rPr>
          <w:rFonts w:cs="David" w:hint="cs"/>
          <w:sz w:val="22"/>
          <w:szCs w:val="22"/>
          <w:rtl/>
        </w:rPr>
        <w:tab/>
      </w:r>
      <w:r>
        <w:rPr>
          <w:rFonts w:cs="David" w:hint="cs"/>
          <w:sz w:val="22"/>
          <w:szCs w:val="22"/>
          <w:rtl/>
        </w:rPr>
        <w:tab/>
      </w:r>
      <w:r w:rsidRPr="00341C3E">
        <w:rPr>
          <w:rFonts w:cs="David"/>
          <w:sz w:val="22"/>
          <w:szCs w:val="22"/>
          <w:rtl/>
        </w:rPr>
        <w:t xml:space="preserve">     12   </w:t>
      </w:r>
      <w:r>
        <w:rPr>
          <w:rFonts w:cs="David" w:hint="cs"/>
          <w:sz w:val="22"/>
          <w:szCs w:val="22"/>
          <w:rtl/>
        </w:rPr>
        <w:tab/>
        <w:t xml:space="preserve">       </w:t>
      </w:r>
      <w:r w:rsidRPr="00341C3E">
        <w:rPr>
          <w:rFonts w:cs="David"/>
          <w:sz w:val="22"/>
          <w:szCs w:val="22"/>
          <w:rtl/>
        </w:rPr>
        <w:t xml:space="preserve">   46.25  ש"ח ( "    41.08) </w:t>
      </w:r>
      <w:r>
        <w:rPr>
          <w:rFonts w:cs="David" w:hint="cs"/>
          <w:sz w:val="22"/>
          <w:szCs w:val="22"/>
          <w:rtl/>
        </w:rPr>
        <w:t xml:space="preserve">       </w:t>
      </w:r>
      <w:r w:rsidRPr="00341C3E">
        <w:rPr>
          <w:rFonts w:cs="David"/>
          <w:sz w:val="22"/>
          <w:szCs w:val="22"/>
          <w:rtl/>
        </w:rPr>
        <w:t xml:space="preserve"> 23.12  ש"ח ( "    20.54) </w:t>
      </w:r>
    </w:p>
    <w:p w:rsidR="00B652BF" w:rsidRPr="00341C3E" w:rsidRDefault="00B652BF" w:rsidP="00B652BF">
      <w:pPr>
        <w:pStyle w:val="a3"/>
        <w:rPr>
          <w:rFonts w:cs="David"/>
          <w:sz w:val="22"/>
          <w:szCs w:val="22"/>
        </w:rPr>
      </w:pPr>
      <w:r w:rsidRPr="00341C3E">
        <w:rPr>
          <w:rFonts w:cs="David"/>
          <w:sz w:val="22"/>
          <w:szCs w:val="22"/>
          <w:rtl/>
        </w:rPr>
        <w:t xml:space="preserve">       3    </w:t>
      </w:r>
      <w:r>
        <w:rPr>
          <w:rFonts w:cs="David" w:hint="cs"/>
          <w:sz w:val="22"/>
          <w:szCs w:val="22"/>
          <w:rtl/>
        </w:rPr>
        <w:tab/>
      </w:r>
      <w:r>
        <w:rPr>
          <w:rFonts w:cs="David" w:hint="cs"/>
          <w:sz w:val="22"/>
          <w:szCs w:val="22"/>
          <w:rtl/>
        </w:rPr>
        <w:tab/>
      </w:r>
      <w:r w:rsidRPr="00341C3E">
        <w:rPr>
          <w:rFonts w:cs="David"/>
          <w:sz w:val="22"/>
          <w:szCs w:val="22"/>
          <w:rtl/>
        </w:rPr>
        <w:t xml:space="preserve">     13  </w:t>
      </w:r>
      <w:r>
        <w:rPr>
          <w:rFonts w:cs="David" w:hint="cs"/>
          <w:sz w:val="22"/>
          <w:szCs w:val="22"/>
          <w:rtl/>
        </w:rPr>
        <w:tab/>
        <w:t xml:space="preserve">       </w:t>
      </w:r>
      <w:r>
        <w:rPr>
          <w:rFonts w:cs="David"/>
          <w:sz w:val="22"/>
          <w:szCs w:val="22"/>
          <w:rtl/>
        </w:rPr>
        <w:t xml:space="preserve">  </w:t>
      </w:r>
      <w:r w:rsidRPr="00341C3E">
        <w:rPr>
          <w:rFonts w:cs="David"/>
          <w:sz w:val="22"/>
          <w:szCs w:val="22"/>
          <w:rtl/>
        </w:rPr>
        <w:t xml:space="preserve"> 64.75  ש"ח ( "    57.51) </w:t>
      </w:r>
      <w:r>
        <w:rPr>
          <w:rFonts w:cs="David" w:hint="cs"/>
          <w:sz w:val="22"/>
          <w:szCs w:val="22"/>
          <w:rtl/>
        </w:rPr>
        <w:t xml:space="preserve">       </w:t>
      </w:r>
      <w:r w:rsidRPr="00341C3E">
        <w:rPr>
          <w:rFonts w:cs="David"/>
          <w:sz w:val="22"/>
          <w:szCs w:val="22"/>
          <w:rtl/>
        </w:rPr>
        <w:t xml:space="preserve"> 32.38  ש"ח ( "    28.75) </w:t>
      </w:r>
    </w:p>
    <w:p w:rsidR="00B652BF" w:rsidRPr="00341C3E" w:rsidRDefault="00B652BF" w:rsidP="00B652BF">
      <w:pPr>
        <w:pStyle w:val="a3"/>
        <w:rPr>
          <w:rFonts w:cs="David"/>
          <w:sz w:val="22"/>
          <w:szCs w:val="22"/>
        </w:rPr>
      </w:pPr>
      <w:r w:rsidRPr="00341C3E">
        <w:rPr>
          <w:rFonts w:cs="David"/>
          <w:sz w:val="22"/>
          <w:szCs w:val="22"/>
          <w:rtl/>
        </w:rPr>
        <w:t xml:space="preserve">       4       </w:t>
      </w:r>
      <w:r>
        <w:rPr>
          <w:rFonts w:cs="David" w:hint="cs"/>
          <w:sz w:val="22"/>
          <w:szCs w:val="22"/>
          <w:rtl/>
        </w:rPr>
        <w:tab/>
        <w:t xml:space="preserve">   </w:t>
      </w:r>
      <w:r w:rsidRPr="00341C3E">
        <w:rPr>
          <w:rFonts w:cs="David"/>
          <w:sz w:val="22"/>
          <w:szCs w:val="22"/>
          <w:rtl/>
        </w:rPr>
        <w:t xml:space="preserve">  14  </w:t>
      </w:r>
      <w:r>
        <w:rPr>
          <w:rFonts w:cs="David" w:hint="cs"/>
          <w:sz w:val="22"/>
          <w:szCs w:val="22"/>
          <w:rtl/>
        </w:rPr>
        <w:tab/>
        <w:t xml:space="preserve">       </w:t>
      </w:r>
      <w:r>
        <w:rPr>
          <w:rFonts w:cs="David"/>
          <w:sz w:val="22"/>
          <w:szCs w:val="22"/>
          <w:rtl/>
        </w:rPr>
        <w:t xml:space="preserve"> </w:t>
      </w:r>
      <w:r w:rsidRPr="00341C3E">
        <w:rPr>
          <w:rFonts w:cs="David"/>
          <w:sz w:val="22"/>
          <w:szCs w:val="22"/>
          <w:rtl/>
        </w:rPr>
        <w:t xml:space="preserve">  83.25  ש"ח ( "    73.94) </w:t>
      </w:r>
      <w:r>
        <w:rPr>
          <w:rFonts w:cs="David" w:hint="cs"/>
          <w:sz w:val="22"/>
          <w:szCs w:val="22"/>
          <w:rtl/>
        </w:rPr>
        <w:t xml:space="preserve">       </w:t>
      </w:r>
      <w:r w:rsidRPr="00341C3E">
        <w:rPr>
          <w:rFonts w:cs="David"/>
          <w:sz w:val="22"/>
          <w:szCs w:val="22"/>
          <w:rtl/>
        </w:rPr>
        <w:t xml:space="preserve"> 41.63  ש"ח ( "    36.97) </w:t>
      </w:r>
    </w:p>
    <w:p w:rsidR="00B652BF" w:rsidRPr="00341C3E" w:rsidRDefault="00B652BF" w:rsidP="00B652BF">
      <w:pPr>
        <w:pStyle w:val="a3"/>
        <w:rPr>
          <w:rFonts w:cs="David"/>
          <w:sz w:val="22"/>
          <w:szCs w:val="22"/>
        </w:rPr>
      </w:pPr>
      <w:r w:rsidRPr="00341C3E">
        <w:rPr>
          <w:rFonts w:cs="David"/>
          <w:sz w:val="22"/>
          <w:szCs w:val="22"/>
          <w:rtl/>
        </w:rPr>
        <w:t xml:space="preserve">       5     </w:t>
      </w:r>
      <w:r>
        <w:rPr>
          <w:rFonts w:cs="David" w:hint="cs"/>
          <w:sz w:val="22"/>
          <w:szCs w:val="22"/>
          <w:rtl/>
        </w:rPr>
        <w:tab/>
      </w:r>
      <w:r>
        <w:rPr>
          <w:rFonts w:cs="David" w:hint="cs"/>
          <w:sz w:val="22"/>
          <w:szCs w:val="22"/>
          <w:rtl/>
        </w:rPr>
        <w:tab/>
      </w:r>
      <w:r w:rsidRPr="00341C3E">
        <w:rPr>
          <w:rFonts w:cs="David"/>
          <w:sz w:val="22"/>
          <w:szCs w:val="22"/>
          <w:rtl/>
        </w:rPr>
        <w:t xml:space="preserve"> </w:t>
      </w:r>
      <w:r>
        <w:rPr>
          <w:rFonts w:cs="David" w:hint="cs"/>
          <w:sz w:val="22"/>
          <w:szCs w:val="22"/>
          <w:rtl/>
        </w:rPr>
        <w:t xml:space="preserve"> </w:t>
      </w:r>
      <w:r w:rsidRPr="00341C3E">
        <w:rPr>
          <w:rFonts w:cs="David"/>
          <w:sz w:val="22"/>
          <w:szCs w:val="22"/>
          <w:rtl/>
        </w:rPr>
        <w:t xml:space="preserve">   15   </w:t>
      </w:r>
      <w:r>
        <w:rPr>
          <w:rFonts w:cs="David" w:hint="cs"/>
          <w:sz w:val="22"/>
          <w:szCs w:val="22"/>
          <w:rtl/>
        </w:rPr>
        <w:tab/>
        <w:t xml:space="preserve">       </w:t>
      </w:r>
      <w:r w:rsidRPr="00341C3E">
        <w:rPr>
          <w:rFonts w:cs="David"/>
          <w:sz w:val="22"/>
          <w:szCs w:val="22"/>
          <w:rtl/>
        </w:rPr>
        <w:t xml:space="preserve">   101.75 ש"ח ( "    90.37) </w:t>
      </w:r>
      <w:r>
        <w:rPr>
          <w:rFonts w:cs="David" w:hint="cs"/>
          <w:sz w:val="22"/>
          <w:szCs w:val="22"/>
          <w:rtl/>
        </w:rPr>
        <w:t xml:space="preserve">      </w:t>
      </w:r>
      <w:r w:rsidRPr="00341C3E">
        <w:rPr>
          <w:rFonts w:cs="David"/>
          <w:sz w:val="22"/>
          <w:szCs w:val="22"/>
          <w:rtl/>
        </w:rPr>
        <w:t xml:space="preserve"> 50.87  ש"ח ( "    45.18) </w:t>
      </w:r>
    </w:p>
    <w:p w:rsidR="00B652BF" w:rsidRDefault="00B652BF" w:rsidP="00341C3E">
      <w:pPr>
        <w:pStyle w:val="a3"/>
        <w:rPr>
          <w:rFonts w:cs="David" w:hint="cs"/>
          <w:sz w:val="22"/>
          <w:szCs w:val="22"/>
          <w:rtl/>
        </w:rPr>
      </w:pPr>
    </w:p>
    <w:p w:rsidR="00B652BF" w:rsidRDefault="00B652BF" w:rsidP="00341C3E">
      <w:pPr>
        <w:pStyle w:val="a3"/>
        <w:rPr>
          <w:rFonts w:cs="David" w:hint="cs"/>
          <w:sz w:val="22"/>
          <w:szCs w:val="22"/>
          <w:rtl/>
        </w:rPr>
      </w:pPr>
    </w:p>
    <w:p w:rsidR="00B652BF" w:rsidRPr="00341C3E" w:rsidRDefault="00B652BF" w:rsidP="00341C3E">
      <w:pPr>
        <w:pStyle w:val="a3"/>
        <w:rPr>
          <w:rFonts w:cs="David" w:hint="cs"/>
          <w:sz w:val="22"/>
          <w:szCs w:val="22"/>
        </w:rPr>
      </w:pPr>
    </w:p>
    <w:p w:rsidR="00341C3E" w:rsidRPr="00341C3E" w:rsidRDefault="00341C3E" w:rsidP="00341C3E">
      <w:pPr>
        <w:pStyle w:val="a3"/>
        <w:rPr>
          <w:rFonts w:cs="David" w:hint="cs"/>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1.2 רכב שירות - דרכים קשות - סמל מחשב: 0590                                 </w:t>
      </w:r>
    </w:p>
    <w:p w:rsidR="00341C3E" w:rsidRPr="00341C3E" w:rsidRDefault="00341C3E" w:rsidP="00341C3E">
      <w:pPr>
        <w:pStyle w:val="a3"/>
        <w:rPr>
          <w:rFonts w:cs="David"/>
          <w:sz w:val="22"/>
          <w:szCs w:val="22"/>
        </w:rPr>
      </w:pPr>
      <w:r w:rsidRPr="00341C3E">
        <w:rPr>
          <w:rFonts w:cs="David"/>
          <w:sz w:val="22"/>
          <w:szCs w:val="22"/>
          <w:rtl/>
        </w:rPr>
        <w:t xml:space="preserve">    ----------------------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r w:rsidR="003A4D25">
        <w:rPr>
          <w:rFonts w:cs="David" w:hint="cs"/>
          <w:sz w:val="22"/>
          <w:szCs w:val="22"/>
          <w:rtl/>
        </w:rPr>
        <w:t xml:space="preserve">   </w:t>
      </w:r>
      <w:r w:rsidRPr="00341C3E">
        <w:rPr>
          <w:rFonts w:cs="David"/>
          <w:sz w:val="22"/>
          <w:szCs w:val="22"/>
          <w:rtl/>
        </w:rPr>
        <w:t xml:space="preserve">  סכום ההוצאות הקבועות        </w:t>
      </w:r>
    </w:p>
    <w:p w:rsidR="00341C3E" w:rsidRPr="00341C3E" w:rsidRDefault="00341C3E" w:rsidP="00341C3E">
      <w:pPr>
        <w:pStyle w:val="a3"/>
        <w:rPr>
          <w:rFonts w:cs="David"/>
          <w:sz w:val="22"/>
          <w:szCs w:val="22"/>
        </w:rPr>
      </w:pPr>
      <w:r w:rsidRPr="00341C3E">
        <w:rPr>
          <w:rFonts w:cs="David"/>
          <w:sz w:val="22"/>
          <w:szCs w:val="22"/>
          <w:rtl/>
        </w:rPr>
        <w:t xml:space="preserve">    רמת     קוד     </w:t>
      </w:r>
      <w:r w:rsidR="003A4D25">
        <w:rPr>
          <w:rFonts w:cs="David" w:hint="cs"/>
          <w:sz w:val="22"/>
          <w:szCs w:val="22"/>
          <w:rtl/>
        </w:rPr>
        <w:t xml:space="preserve"> </w:t>
      </w:r>
      <w:r w:rsidRPr="00341C3E">
        <w:rPr>
          <w:rFonts w:cs="David"/>
          <w:sz w:val="22"/>
          <w:szCs w:val="22"/>
          <w:rtl/>
        </w:rPr>
        <w:t xml:space="preserve"> סכום ההוצאות הקבועות     </w:t>
      </w:r>
      <w:r w:rsidR="003A4D25">
        <w:rPr>
          <w:rFonts w:cs="David" w:hint="cs"/>
          <w:sz w:val="22"/>
          <w:szCs w:val="22"/>
          <w:rtl/>
        </w:rPr>
        <w:t xml:space="preserve"> </w:t>
      </w:r>
      <w:r w:rsidRPr="00341C3E">
        <w:rPr>
          <w:rFonts w:cs="David"/>
          <w:sz w:val="22"/>
          <w:szCs w:val="22"/>
          <w:rtl/>
        </w:rPr>
        <w:t xml:space="preserve">  בדרכים רגילות לבעלי         </w:t>
      </w:r>
    </w:p>
    <w:p w:rsidR="00341C3E" w:rsidRPr="00341C3E" w:rsidRDefault="00341C3E" w:rsidP="00341C3E">
      <w:pPr>
        <w:pStyle w:val="a3"/>
        <w:rPr>
          <w:rFonts w:cs="David"/>
          <w:sz w:val="22"/>
          <w:szCs w:val="22"/>
        </w:rPr>
      </w:pPr>
      <w:r w:rsidRPr="00341C3E">
        <w:rPr>
          <w:rFonts w:cs="David"/>
          <w:sz w:val="22"/>
          <w:szCs w:val="22"/>
          <w:rtl/>
        </w:rPr>
        <w:t xml:space="preserve">    ניידות  דיווח   </w:t>
      </w:r>
      <w:r w:rsidR="003A4D25">
        <w:rPr>
          <w:rFonts w:cs="David" w:hint="cs"/>
          <w:sz w:val="22"/>
          <w:szCs w:val="22"/>
          <w:rtl/>
        </w:rPr>
        <w:t xml:space="preserve"> </w:t>
      </w:r>
      <w:r w:rsidRPr="00341C3E">
        <w:rPr>
          <w:rFonts w:cs="David"/>
          <w:sz w:val="22"/>
          <w:szCs w:val="22"/>
          <w:rtl/>
        </w:rPr>
        <w:t xml:space="preserve"> בדרכים קשות נטו לחודש   </w:t>
      </w:r>
      <w:r w:rsidR="003A4D25">
        <w:rPr>
          <w:rFonts w:cs="David" w:hint="cs"/>
          <w:sz w:val="22"/>
          <w:szCs w:val="22"/>
          <w:rtl/>
        </w:rPr>
        <w:t xml:space="preserve"> </w:t>
      </w:r>
      <w:r w:rsidRPr="00341C3E">
        <w:rPr>
          <w:rFonts w:cs="David"/>
          <w:sz w:val="22"/>
          <w:szCs w:val="22"/>
          <w:rtl/>
        </w:rPr>
        <w:t xml:space="preserve">   תקן דרכים קשות נטו לחודש    </w:t>
      </w:r>
    </w:p>
    <w:p w:rsidR="00341C3E" w:rsidRPr="00341C3E" w:rsidRDefault="00341C3E" w:rsidP="00341C3E">
      <w:pPr>
        <w:pStyle w:val="a3"/>
        <w:rPr>
          <w:rFonts w:cs="David"/>
          <w:sz w:val="22"/>
          <w:szCs w:val="22"/>
        </w:rPr>
      </w:pPr>
      <w:r w:rsidRPr="00341C3E">
        <w:rPr>
          <w:rFonts w:cs="David"/>
          <w:sz w:val="22"/>
          <w:szCs w:val="22"/>
          <w:rtl/>
        </w:rPr>
        <w:t xml:space="preserve">    ------ </w:t>
      </w:r>
      <w:r w:rsidR="00AE7137">
        <w:rPr>
          <w:rFonts w:cs="David" w:hint="cs"/>
          <w:sz w:val="22"/>
          <w:szCs w:val="22"/>
          <w:rtl/>
        </w:rPr>
        <w:t xml:space="preserve"> </w:t>
      </w:r>
      <w:r w:rsidRPr="00341C3E">
        <w:rPr>
          <w:rFonts w:cs="David"/>
          <w:sz w:val="22"/>
          <w:szCs w:val="22"/>
          <w:rtl/>
        </w:rPr>
        <w:t xml:space="preserve"> -----   </w:t>
      </w:r>
      <w:r w:rsidR="00AE7137">
        <w:rPr>
          <w:rFonts w:cs="David" w:hint="cs"/>
          <w:sz w:val="22"/>
          <w:szCs w:val="22"/>
          <w:rtl/>
        </w:rPr>
        <w:t xml:space="preserve">     </w:t>
      </w:r>
      <w:r w:rsidRPr="00341C3E">
        <w:rPr>
          <w:rFonts w:cs="David"/>
          <w:sz w:val="22"/>
          <w:szCs w:val="22"/>
          <w:rtl/>
        </w:rPr>
        <w:t xml:space="preserve"> ----------------------    </w:t>
      </w:r>
      <w:r w:rsidR="00AE7137">
        <w:rPr>
          <w:rFonts w:cs="David" w:hint="cs"/>
          <w:sz w:val="22"/>
          <w:szCs w:val="22"/>
          <w:rtl/>
        </w:rPr>
        <w:t xml:space="preserve">       </w:t>
      </w:r>
      <w:r w:rsidR="003A4D25">
        <w:rPr>
          <w:rFonts w:cs="David" w:hint="cs"/>
          <w:sz w:val="22"/>
          <w:szCs w:val="22"/>
          <w:rtl/>
        </w:rPr>
        <w:t xml:space="preserve">  </w:t>
      </w:r>
      <w:r w:rsidR="00AE7137">
        <w:rPr>
          <w:rFonts w:cs="David" w:hint="cs"/>
          <w:sz w:val="22"/>
          <w:szCs w:val="22"/>
          <w:rtl/>
        </w:rPr>
        <w:t xml:space="preserve"> </w:t>
      </w:r>
      <w:r w:rsidRPr="00341C3E">
        <w:rPr>
          <w:rFonts w:cs="David"/>
          <w:sz w:val="22"/>
          <w:szCs w:val="22"/>
          <w:rtl/>
        </w:rPr>
        <w:t xml:space="preserve"> ------------------------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AE7137" w:rsidP="00341C3E">
      <w:pPr>
        <w:pStyle w:val="a3"/>
        <w:rPr>
          <w:rFonts w:cs="David"/>
          <w:sz w:val="22"/>
          <w:szCs w:val="22"/>
        </w:rPr>
      </w:pPr>
      <w:r>
        <w:rPr>
          <w:rFonts w:cs="David"/>
          <w:sz w:val="22"/>
          <w:szCs w:val="22"/>
          <w:rtl/>
        </w:rPr>
        <w:t xml:space="preserve">       א   </w:t>
      </w:r>
      <w:r>
        <w:rPr>
          <w:rFonts w:cs="David" w:hint="cs"/>
          <w:sz w:val="22"/>
          <w:szCs w:val="22"/>
          <w:rtl/>
        </w:rPr>
        <w:t xml:space="preserve"> </w:t>
      </w:r>
      <w:r w:rsidR="00341C3E" w:rsidRPr="00341C3E">
        <w:rPr>
          <w:rFonts w:cs="David"/>
          <w:sz w:val="22"/>
          <w:szCs w:val="22"/>
          <w:rtl/>
        </w:rPr>
        <w:t xml:space="preserve">  41   </w:t>
      </w:r>
      <w:r>
        <w:rPr>
          <w:rFonts w:cs="David" w:hint="cs"/>
          <w:sz w:val="22"/>
          <w:szCs w:val="22"/>
          <w:rtl/>
        </w:rPr>
        <w:t xml:space="preserve">  </w:t>
      </w:r>
      <w:r w:rsidR="00341C3E" w:rsidRPr="00341C3E">
        <w:rPr>
          <w:rFonts w:cs="David"/>
          <w:sz w:val="22"/>
          <w:szCs w:val="22"/>
          <w:rtl/>
        </w:rPr>
        <w:t xml:space="preserve">   148.07 ש"ח (במקום 132.48) </w:t>
      </w:r>
      <w:r>
        <w:rPr>
          <w:rFonts w:cs="David" w:hint="cs"/>
          <w:sz w:val="22"/>
          <w:szCs w:val="22"/>
          <w:rtl/>
        </w:rPr>
        <w:t xml:space="preserve">    </w:t>
      </w:r>
      <w:r w:rsidR="00341C3E" w:rsidRPr="00341C3E">
        <w:rPr>
          <w:rFonts w:cs="David"/>
          <w:sz w:val="22"/>
          <w:szCs w:val="22"/>
          <w:rtl/>
        </w:rPr>
        <w:t xml:space="preserve"> 211.58 ש"ח (במקום  187.73) </w:t>
      </w:r>
    </w:p>
    <w:p w:rsidR="00341C3E" w:rsidRPr="00341C3E" w:rsidRDefault="00341C3E" w:rsidP="00341C3E">
      <w:pPr>
        <w:pStyle w:val="a3"/>
        <w:rPr>
          <w:rFonts w:cs="David"/>
          <w:sz w:val="22"/>
          <w:szCs w:val="22"/>
        </w:rPr>
      </w:pPr>
      <w:r w:rsidRPr="00341C3E">
        <w:rPr>
          <w:rFonts w:cs="David"/>
          <w:sz w:val="22"/>
          <w:szCs w:val="22"/>
          <w:rtl/>
        </w:rPr>
        <w:t xml:space="preserve">       ב     </w:t>
      </w:r>
      <w:r w:rsidR="00AE7137">
        <w:rPr>
          <w:rFonts w:cs="David" w:hint="cs"/>
          <w:sz w:val="22"/>
          <w:szCs w:val="22"/>
          <w:rtl/>
        </w:rPr>
        <w:t xml:space="preserve"> </w:t>
      </w:r>
      <w:r w:rsidRPr="00341C3E">
        <w:rPr>
          <w:rFonts w:cs="David"/>
          <w:sz w:val="22"/>
          <w:szCs w:val="22"/>
          <w:rtl/>
        </w:rPr>
        <w:t xml:space="preserve"> 42    </w:t>
      </w:r>
      <w:r w:rsidR="00AE7137">
        <w:rPr>
          <w:rFonts w:cs="David" w:hint="cs"/>
          <w:sz w:val="22"/>
          <w:szCs w:val="22"/>
          <w:rtl/>
        </w:rPr>
        <w:t xml:space="preserve">  </w:t>
      </w:r>
      <w:r w:rsidRPr="00341C3E">
        <w:rPr>
          <w:rFonts w:cs="David"/>
          <w:sz w:val="22"/>
          <w:szCs w:val="22"/>
          <w:rtl/>
        </w:rPr>
        <w:t xml:space="preserve">  205.90 ש"ח ( "    184.31) </w:t>
      </w:r>
      <w:r w:rsidR="00AE7137">
        <w:rPr>
          <w:rFonts w:cs="David" w:hint="cs"/>
          <w:sz w:val="22"/>
          <w:szCs w:val="22"/>
          <w:rtl/>
        </w:rPr>
        <w:t xml:space="preserve">         </w:t>
      </w:r>
      <w:r w:rsidRPr="00341C3E">
        <w:rPr>
          <w:rFonts w:cs="David"/>
          <w:sz w:val="22"/>
          <w:szCs w:val="22"/>
          <w:rtl/>
        </w:rPr>
        <w:t xml:space="preserve"> 294.83 ש"ח (  "    261.67) </w:t>
      </w:r>
    </w:p>
    <w:p w:rsidR="00341C3E" w:rsidRPr="00341C3E" w:rsidRDefault="00341C3E" w:rsidP="00341C3E">
      <w:pPr>
        <w:pStyle w:val="a3"/>
        <w:rPr>
          <w:rFonts w:cs="David"/>
          <w:sz w:val="22"/>
          <w:szCs w:val="22"/>
        </w:rPr>
      </w:pPr>
      <w:r w:rsidRPr="00341C3E">
        <w:rPr>
          <w:rFonts w:cs="David"/>
          <w:sz w:val="22"/>
          <w:szCs w:val="22"/>
          <w:rtl/>
        </w:rPr>
        <w:t xml:space="preserve">       ג      </w:t>
      </w:r>
      <w:r w:rsidR="00AE7137">
        <w:rPr>
          <w:rFonts w:cs="David" w:hint="cs"/>
          <w:sz w:val="22"/>
          <w:szCs w:val="22"/>
          <w:rtl/>
        </w:rPr>
        <w:t xml:space="preserve">  </w:t>
      </w:r>
      <w:r w:rsidRPr="00341C3E">
        <w:rPr>
          <w:rFonts w:cs="David"/>
          <w:sz w:val="22"/>
          <w:szCs w:val="22"/>
          <w:rtl/>
        </w:rPr>
        <w:t xml:space="preserve">43     </w:t>
      </w:r>
      <w:r w:rsidR="00AE7137">
        <w:rPr>
          <w:rFonts w:cs="David" w:hint="cs"/>
          <w:sz w:val="22"/>
          <w:szCs w:val="22"/>
          <w:rtl/>
        </w:rPr>
        <w:t xml:space="preserve">  </w:t>
      </w:r>
      <w:r w:rsidRPr="00341C3E">
        <w:rPr>
          <w:rFonts w:cs="David"/>
          <w:sz w:val="22"/>
          <w:szCs w:val="22"/>
          <w:rtl/>
        </w:rPr>
        <w:t xml:space="preserve"> 263.75 ש"ח ( "    236.14) </w:t>
      </w:r>
      <w:r w:rsidR="00AE7137">
        <w:rPr>
          <w:rFonts w:cs="David" w:hint="cs"/>
          <w:sz w:val="22"/>
          <w:szCs w:val="22"/>
          <w:rtl/>
        </w:rPr>
        <w:t xml:space="preserve">        </w:t>
      </w:r>
      <w:r w:rsidRPr="00341C3E">
        <w:rPr>
          <w:rFonts w:cs="David"/>
          <w:sz w:val="22"/>
          <w:szCs w:val="22"/>
          <w:rtl/>
        </w:rPr>
        <w:t xml:space="preserve"> 378.08 ש"ח (  "    335.60) </w:t>
      </w:r>
    </w:p>
    <w:p w:rsidR="00341C3E" w:rsidRPr="00341C3E" w:rsidRDefault="00341C3E" w:rsidP="00341C3E">
      <w:pPr>
        <w:pStyle w:val="a3"/>
        <w:rPr>
          <w:rFonts w:cs="David"/>
          <w:sz w:val="22"/>
          <w:szCs w:val="22"/>
        </w:rPr>
      </w:pPr>
      <w:r w:rsidRPr="00341C3E">
        <w:rPr>
          <w:rFonts w:cs="David"/>
          <w:sz w:val="22"/>
          <w:szCs w:val="22"/>
          <w:rtl/>
        </w:rPr>
        <w:t xml:space="preserve">       ד     </w:t>
      </w:r>
      <w:r w:rsidR="00AE7137">
        <w:rPr>
          <w:rFonts w:cs="David" w:hint="cs"/>
          <w:sz w:val="22"/>
          <w:szCs w:val="22"/>
          <w:rtl/>
        </w:rPr>
        <w:t xml:space="preserve"> </w:t>
      </w:r>
      <w:r w:rsidRPr="00341C3E">
        <w:rPr>
          <w:rFonts w:cs="David"/>
          <w:sz w:val="22"/>
          <w:szCs w:val="22"/>
          <w:rtl/>
        </w:rPr>
        <w:t xml:space="preserve"> 44    </w:t>
      </w:r>
      <w:r w:rsidR="00AE7137">
        <w:rPr>
          <w:rFonts w:cs="David" w:hint="cs"/>
          <w:sz w:val="22"/>
          <w:szCs w:val="22"/>
          <w:rtl/>
        </w:rPr>
        <w:t xml:space="preserve">  </w:t>
      </w:r>
      <w:r w:rsidRPr="00341C3E">
        <w:rPr>
          <w:rFonts w:cs="David"/>
          <w:sz w:val="22"/>
          <w:szCs w:val="22"/>
          <w:rtl/>
        </w:rPr>
        <w:t xml:space="preserve">  311.94 ש"ח ( "    279.34) </w:t>
      </w:r>
      <w:r w:rsidR="00AE7137">
        <w:rPr>
          <w:rFonts w:cs="David" w:hint="cs"/>
          <w:sz w:val="22"/>
          <w:szCs w:val="22"/>
          <w:rtl/>
        </w:rPr>
        <w:t xml:space="preserve">        </w:t>
      </w:r>
      <w:r w:rsidRPr="00341C3E">
        <w:rPr>
          <w:rFonts w:cs="David"/>
          <w:sz w:val="22"/>
          <w:szCs w:val="22"/>
          <w:rtl/>
        </w:rPr>
        <w:t xml:space="preserve"> 447.45 ש"ח (  "    397.22)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התשלום החודשי של ההוצאות הקבועות  לעובדים  הזכאים  לתעריף  "דרכים  קשות"</w:t>
      </w:r>
    </w:p>
    <w:p w:rsidR="00341C3E" w:rsidRPr="00341C3E" w:rsidRDefault="00341C3E" w:rsidP="00341C3E">
      <w:pPr>
        <w:pStyle w:val="a3"/>
        <w:rPr>
          <w:rFonts w:cs="David"/>
          <w:sz w:val="22"/>
          <w:szCs w:val="22"/>
        </w:rPr>
      </w:pPr>
      <w:r w:rsidRPr="00341C3E">
        <w:rPr>
          <w:rFonts w:cs="David"/>
          <w:sz w:val="22"/>
          <w:szCs w:val="22"/>
          <w:rtl/>
        </w:rPr>
        <w:t xml:space="preserve">    יחושב לפי היחס המאושר של השיעור בדרכים קשות לבין השיעור בדרכים רגילות.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סכומי ההוצאות הקבועות הנ"ל כוללים דמי חניה.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2 סכום ההשתתפות בהוצאות משתנות                                            </w:t>
      </w:r>
    </w:p>
    <w:p w:rsidR="00341C3E" w:rsidRPr="00341C3E" w:rsidRDefault="00341C3E" w:rsidP="00341C3E">
      <w:pPr>
        <w:pStyle w:val="a3"/>
        <w:rPr>
          <w:rFonts w:cs="David"/>
          <w:sz w:val="22"/>
          <w:szCs w:val="22"/>
        </w:rPr>
      </w:pPr>
      <w:r w:rsidRPr="00341C3E">
        <w:rPr>
          <w:rFonts w:cs="David"/>
          <w:sz w:val="22"/>
          <w:szCs w:val="22"/>
          <w:rtl/>
        </w:rPr>
        <w:t xml:space="preserve">    ----------------------------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2.1 לבעלי רכב שירות ואישי                                                   </w:t>
      </w:r>
    </w:p>
    <w:p w:rsidR="00341C3E" w:rsidRPr="00341C3E" w:rsidRDefault="00341C3E" w:rsidP="00341C3E">
      <w:pPr>
        <w:pStyle w:val="a3"/>
        <w:rPr>
          <w:rFonts w:cs="David"/>
          <w:sz w:val="22"/>
          <w:szCs w:val="22"/>
        </w:rPr>
      </w:pPr>
      <w:r w:rsidRPr="00341C3E">
        <w:rPr>
          <w:rFonts w:cs="David"/>
          <w:sz w:val="22"/>
          <w:szCs w:val="22"/>
          <w:rtl/>
        </w:rPr>
        <w:t xml:space="preserve">    - - - - - - - - - - -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א. הוצאות משתנות - דרכים רגילות יהיו בסך 0.12 ש"ח  נטו  לק"מ  סמל  מחשב:</w:t>
      </w:r>
    </w:p>
    <w:p w:rsidR="00341C3E" w:rsidRPr="00341C3E" w:rsidRDefault="00341C3E" w:rsidP="00341C3E">
      <w:pPr>
        <w:pStyle w:val="a3"/>
        <w:rPr>
          <w:rFonts w:cs="David"/>
          <w:sz w:val="22"/>
          <w:szCs w:val="22"/>
        </w:rPr>
      </w:pPr>
      <w:r w:rsidRPr="00341C3E">
        <w:rPr>
          <w:rFonts w:cs="David"/>
          <w:sz w:val="22"/>
          <w:szCs w:val="22"/>
          <w:rtl/>
        </w:rPr>
        <w:t xml:space="preserve">       1034.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ב. לעובדים בעלי רכב שירות, שלהם תקן "דרכים קשות", יהיו  ההוצאות  המשתנות</w:t>
      </w:r>
    </w:p>
    <w:p w:rsidR="00341C3E" w:rsidRPr="00341C3E" w:rsidRDefault="00341C3E" w:rsidP="00341C3E">
      <w:pPr>
        <w:pStyle w:val="a3"/>
        <w:rPr>
          <w:rFonts w:cs="David"/>
          <w:sz w:val="22"/>
          <w:szCs w:val="22"/>
        </w:rPr>
      </w:pPr>
      <w:r w:rsidRPr="00341C3E">
        <w:rPr>
          <w:rFonts w:cs="David"/>
          <w:sz w:val="22"/>
          <w:szCs w:val="22"/>
          <w:rtl/>
        </w:rPr>
        <w:t xml:space="preserve">       כלהלן: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תעריף מיוחד א - 0.28 ש"ח נטו לק"מ, סמל מחשב: 1084.                   </w:t>
      </w:r>
    </w:p>
    <w:p w:rsidR="00341C3E" w:rsidRPr="00341C3E" w:rsidRDefault="00341C3E" w:rsidP="00341C3E">
      <w:pPr>
        <w:pStyle w:val="a3"/>
        <w:rPr>
          <w:rFonts w:cs="David"/>
          <w:sz w:val="22"/>
          <w:szCs w:val="22"/>
        </w:rPr>
      </w:pPr>
      <w:r w:rsidRPr="00341C3E">
        <w:rPr>
          <w:rFonts w:cs="David"/>
          <w:sz w:val="22"/>
          <w:szCs w:val="22"/>
          <w:rtl/>
        </w:rPr>
        <w:t xml:space="preserve">       תעריף מיוחד ב - 0.16 ש"ח נטו לק"מ, סמל מחשב: 1041.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2.2 לבעלי קטנוע שירות ואישי - סמל מחשב: 1070.                               </w:t>
      </w:r>
    </w:p>
    <w:p w:rsidR="00341C3E" w:rsidRPr="00341C3E" w:rsidRDefault="00341C3E" w:rsidP="00341C3E">
      <w:pPr>
        <w:pStyle w:val="a3"/>
        <w:rPr>
          <w:rFonts w:cs="David"/>
          <w:sz w:val="22"/>
          <w:szCs w:val="22"/>
        </w:rPr>
      </w:pPr>
      <w:r w:rsidRPr="00341C3E">
        <w:rPr>
          <w:rFonts w:cs="David"/>
          <w:sz w:val="22"/>
          <w:szCs w:val="22"/>
          <w:rtl/>
        </w:rPr>
        <w:t xml:space="preserve">    - - - - - - - - - - - -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hint="cs"/>
          <w:sz w:val="22"/>
          <w:szCs w:val="22"/>
        </w:rPr>
      </w:pPr>
      <w:r w:rsidRPr="00341C3E">
        <w:rPr>
          <w:rFonts w:cs="David"/>
          <w:sz w:val="22"/>
          <w:szCs w:val="22"/>
          <w:rtl/>
        </w:rPr>
        <w:t xml:space="preserve">    א. 0.08 ש"ח נטו לק"מ וזאת במסגרת מיכסת הקילומטרים המאושרת.              </w:t>
      </w:r>
    </w:p>
    <w:p w:rsidR="00341C3E" w:rsidRPr="00341C3E" w:rsidRDefault="00341C3E" w:rsidP="00341C3E">
      <w:pPr>
        <w:pStyle w:val="a3"/>
        <w:rPr>
          <w:rFonts w:cs="David"/>
          <w:sz w:val="22"/>
          <w:szCs w:val="22"/>
        </w:rPr>
      </w:pPr>
      <w:r w:rsidRPr="00341C3E">
        <w:rPr>
          <w:rFonts w:cs="David"/>
          <w:sz w:val="22"/>
          <w:szCs w:val="22"/>
          <w:rtl/>
        </w:rPr>
        <w:t xml:space="preserve">    ב. תעריף זה כולל גם את ההוצאות הקבועות.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2.3 לבעלי טילון שירות ואישי (אופניים עם מנוע עזר) - סמל מחשב: 1071.         </w:t>
      </w:r>
    </w:p>
    <w:p w:rsidR="00341C3E" w:rsidRPr="00341C3E" w:rsidRDefault="00341C3E" w:rsidP="00341C3E">
      <w:pPr>
        <w:pStyle w:val="a3"/>
        <w:rPr>
          <w:rFonts w:cs="David"/>
          <w:sz w:val="22"/>
          <w:szCs w:val="22"/>
        </w:rPr>
      </w:pPr>
      <w:r w:rsidRPr="00341C3E">
        <w:rPr>
          <w:rFonts w:cs="David"/>
          <w:sz w:val="22"/>
          <w:szCs w:val="22"/>
          <w:rtl/>
        </w:rPr>
        <w:t xml:space="preserve">    - - - - - - - - - - - - - - - - - - - - - - -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א. 0.05 שקלים חדשים נטו לק"מ.                                           </w:t>
      </w:r>
    </w:p>
    <w:p w:rsidR="00341C3E" w:rsidRPr="00341C3E" w:rsidRDefault="00341C3E" w:rsidP="00341C3E">
      <w:pPr>
        <w:pStyle w:val="a3"/>
        <w:rPr>
          <w:rFonts w:cs="David"/>
          <w:sz w:val="22"/>
          <w:szCs w:val="22"/>
        </w:rPr>
      </w:pPr>
      <w:r w:rsidRPr="00341C3E">
        <w:rPr>
          <w:rFonts w:cs="David"/>
          <w:sz w:val="22"/>
          <w:szCs w:val="22"/>
          <w:rtl/>
        </w:rPr>
        <w:lastRenderedPageBreak/>
        <w:t xml:space="preserve">    ב. תעריף זה כולל גם את ההוצאות הקבועות.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2.4 לבעלי רכב שירות ואישי שהם בעלי מכונית ננסית                             </w:t>
      </w:r>
    </w:p>
    <w:p w:rsidR="00341C3E" w:rsidRPr="00341C3E" w:rsidRDefault="00341C3E" w:rsidP="00341C3E">
      <w:pPr>
        <w:pStyle w:val="a3"/>
        <w:rPr>
          <w:rFonts w:cs="David"/>
          <w:sz w:val="22"/>
          <w:szCs w:val="22"/>
        </w:rPr>
      </w:pPr>
      <w:r w:rsidRPr="00341C3E">
        <w:rPr>
          <w:rFonts w:cs="David"/>
          <w:sz w:val="22"/>
          <w:szCs w:val="22"/>
          <w:rtl/>
        </w:rPr>
        <w:t xml:space="preserve">    - - - - - - - - - - - - - - - - - - - - - -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א. 0.14 ש"ח נטו לק"מ, במסגרת מיכסת הקילומטרים המאושרת.                  </w:t>
      </w:r>
    </w:p>
    <w:p w:rsidR="00341C3E" w:rsidRPr="00341C3E" w:rsidRDefault="00341C3E" w:rsidP="00341C3E">
      <w:pPr>
        <w:pStyle w:val="a3"/>
        <w:rPr>
          <w:rFonts w:cs="David"/>
          <w:sz w:val="22"/>
          <w:szCs w:val="22"/>
        </w:rPr>
      </w:pPr>
      <w:r w:rsidRPr="00341C3E">
        <w:rPr>
          <w:rFonts w:cs="David"/>
          <w:sz w:val="22"/>
          <w:szCs w:val="22"/>
          <w:rtl/>
        </w:rPr>
        <w:t xml:space="preserve">    ב. תעריף זה כולל גם את ההוצאות הקבועות.                                 </w:t>
      </w:r>
    </w:p>
    <w:p w:rsidR="00341C3E" w:rsidRPr="00341C3E" w:rsidRDefault="00341C3E" w:rsidP="00341C3E">
      <w:pPr>
        <w:pStyle w:val="a3"/>
        <w:rPr>
          <w:rFonts w:cs="David"/>
          <w:sz w:val="22"/>
          <w:szCs w:val="22"/>
        </w:rPr>
      </w:pPr>
    </w:p>
    <w:p w:rsidR="00341C3E" w:rsidRPr="00341C3E" w:rsidRDefault="00341C3E" w:rsidP="00341C3E">
      <w:pPr>
        <w:pStyle w:val="a3"/>
        <w:rPr>
          <w:rFonts w:cs="David"/>
          <w:sz w:val="22"/>
          <w:szCs w:val="22"/>
        </w:rPr>
      </w:pPr>
    </w:p>
    <w:p w:rsidR="00341C3E" w:rsidRPr="00341C3E" w:rsidRDefault="00341C3E" w:rsidP="00341C3E">
      <w:pPr>
        <w:pStyle w:val="a3"/>
        <w:rPr>
          <w:rFonts w:cs="David"/>
          <w:sz w:val="22"/>
          <w:szCs w:val="22"/>
        </w:rPr>
      </w:pPr>
      <w:r w:rsidRPr="00341C3E">
        <w:rPr>
          <w:rFonts w:cs="David"/>
          <w:sz w:val="22"/>
          <w:szCs w:val="22"/>
          <w:rtl/>
        </w:rPr>
        <w:t>2.5 לעובדים בעלי רכב, שאינם מאושרים כבעלי רכב שירות, אישי או גלובלי  ושקיבלו</w:t>
      </w:r>
    </w:p>
    <w:p w:rsidR="00341C3E" w:rsidRPr="00341C3E" w:rsidRDefault="00341C3E" w:rsidP="00341C3E">
      <w:pPr>
        <w:pStyle w:val="a3"/>
        <w:rPr>
          <w:rFonts w:cs="David"/>
          <w:sz w:val="22"/>
          <w:szCs w:val="22"/>
        </w:rPr>
      </w:pPr>
      <w:r w:rsidRPr="00341C3E">
        <w:rPr>
          <w:rFonts w:cs="David"/>
          <w:sz w:val="22"/>
          <w:szCs w:val="22"/>
          <w:rtl/>
        </w:rPr>
        <w:t xml:space="preserve">    במסגרת המאגר הכללי אישור מראש לנסיעות בתפקיד במכוניתם - יהא התעריף  0.12</w:t>
      </w:r>
    </w:p>
    <w:p w:rsidR="00341C3E" w:rsidRPr="00341C3E" w:rsidRDefault="00341C3E" w:rsidP="00341C3E">
      <w:pPr>
        <w:pStyle w:val="a3"/>
        <w:rPr>
          <w:rFonts w:cs="David"/>
          <w:sz w:val="22"/>
          <w:szCs w:val="22"/>
        </w:rPr>
      </w:pPr>
      <w:r w:rsidRPr="00341C3E">
        <w:rPr>
          <w:rFonts w:cs="David"/>
          <w:sz w:val="22"/>
          <w:szCs w:val="22"/>
          <w:rtl/>
        </w:rPr>
        <w:t xml:space="preserve">    ש"ח נטו לק"מ, סמל מחשב: 1072.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2.6 התעריף למרצים ולנותני שירותים שונים - סמל מחשב: 1038                    </w:t>
      </w:r>
    </w:p>
    <w:p w:rsidR="00341C3E" w:rsidRPr="00341C3E" w:rsidRDefault="00341C3E" w:rsidP="00341C3E">
      <w:pPr>
        <w:pStyle w:val="a3"/>
        <w:rPr>
          <w:rFonts w:cs="David"/>
          <w:sz w:val="22"/>
          <w:szCs w:val="22"/>
        </w:rPr>
      </w:pPr>
      <w:r w:rsidRPr="00341C3E">
        <w:rPr>
          <w:rFonts w:cs="David"/>
          <w:sz w:val="22"/>
          <w:szCs w:val="22"/>
          <w:rtl/>
        </w:rPr>
        <w:t xml:space="preserve">    - - - - - - - - - - - - - - - - - -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למרצים ולנותני שירותים שונים, המשתמשים  במכוניתם  לנסיעות  הקשורות  במתן</w:t>
      </w:r>
    </w:p>
    <w:p w:rsidR="00341C3E" w:rsidRPr="00341C3E" w:rsidRDefault="00341C3E" w:rsidP="00341C3E">
      <w:pPr>
        <w:pStyle w:val="a3"/>
        <w:rPr>
          <w:rFonts w:cs="David"/>
          <w:sz w:val="22"/>
          <w:szCs w:val="22"/>
        </w:rPr>
      </w:pPr>
      <w:r w:rsidRPr="00341C3E">
        <w:rPr>
          <w:rFonts w:cs="David"/>
          <w:sz w:val="22"/>
          <w:szCs w:val="22"/>
          <w:rtl/>
        </w:rPr>
        <w:t xml:space="preserve">    השירות, יהיה התעריף 0.26 שקלים חדשים ברוטו לק"מ מה-1 בנובמבר 1988.      </w:t>
      </w:r>
    </w:p>
    <w:p w:rsidR="00341C3E" w:rsidRPr="00341C3E" w:rsidRDefault="00341C3E" w:rsidP="00341C3E">
      <w:pPr>
        <w:pStyle w:val="a3"/>
        <w:rPr>
          <w:rFonts w:cs="David"/>
          <w:sz w:val="22"/>
          <w:szCs w:val="22"/>
        </w:rPr>
      </w:pPr>
      <w:r w:rsidRPr="00341C3E">
        <w:rPr>
          <w:rFonts w:cs="David"/>
          <w:sz w:val="22"/>
          <w:szCs w:val="22"/>
          <w:rtl/>
        </w:rPr>
        <w:t xml:space="preserve">    תעריף זה אינו כולל מס ערך מוסף.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2.7 הניכוי החודשי בעד שימוש ברכב צמוד, שלפי תקנות מס הכנסה  לא  נקבעה  לגביו</w:t>
      </w:r>
    </w:p>
    <w:p w:rsidR="00341C3E" w:rsidRPr="00341C3E" w:rsidRDefault="00341C3E" w:rsidP="00341C3E">
      <w:pPr>
        <w:pStyle w:val="a3"/>
        <w:rPr>
          <w:rFonts w:cs="David"/>
          <w:sz w:val="22"/>
          <w:szCs w:val="22"/>
        </w:rPr>
      </w:pPr>
      <w:r w:rsidRPr="00341C3E">
        <w:rPr>
          <w:rFonts w:cs="David"/>
          <w:sz w:val="22"/>
          <w:szCs w:val="22"/>
          <w:rtl/>
        </w:rPr>
        <w:t xml:space="preserve">    זקיפה הטבה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החל מה-1 בנובמבר 1988 יהיה הניכוי החודשי  מעובדים  המשתמשים  ברכב  צמוד,</w:t>
      </w:r>
    </w:p>
    <w:p w:rsidR="00341C3E" w:rsidRPr="00341C3E" w:rsidRDefault="00341C3E" w:rsidP="00341C3E">
      <w:pPr>
        <w:pStyle w:val="a3"/>
        <w:rPr>
          <w:rFonts w:cs="David"/>
          <w:sz w:val="22"/>
          <w:szCs w:val="22"/>
        </w:rPr>
      </w:pPr>
      <w:r w:rsidRPr="00341C3E">
        <w:rPr>
          <w:rFonts w:cs="David"/>
          <w:sz w:val="22"/>
          <w:szCs w:val="22"/>
          <w:rtl/>
        </w:rPr>
        <w:t xml:space="preserve">    (כגון: קטנועים, רכב מסחרי במשקל שמעל 3 טון), כלהלן: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א. למכונית: -.120 ש"ח לחודש - במשך 11 חודש, או -.110 ש"ח לחודש  במשך כל </w:t>
      </w:r>
    </w:p>
    <w:p w:rsidR="00341C3E" w:rsidRPr="00341C3E" w:rsidRDefault="00341C3E" w:rsidP="00341C3E">
      <w:pPr>
        <w:pStyle w:val="a3"/>
        <w:rPr>
          <w:rFonts w:cs="David"/>
          <w:sz w:val="22"/>
          <w:szCs w:val="22"/>
        </w:rPr>
      </w:pPr>
      <w:r w:rsidRPr="00341C3E">
        <w:rPr>
          <w:rFonts w:cs="David"/>
          <w:sz w:val="22"/>
          <w:szCs w:val="22"/>
          <w:rtl/>
        </w:rPr>
        <w:t xml:space="preserve">                שנה.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ב. לקטנוע : -.20  ש"ח לחודש - במשך 11 חודש, או 18.33 ש"ח לחודש  במשך  כל</w:t>
      </w:r>
    </w:p>
    <w:p w:rsidR="00341C3E" w:rsidRPr="00341C3E" w:rsidRDefault="00341C3E" w:rsidP="00341C3E">
      <w:pPr>
        <w:pStyle w:val="a3"/>
        <w:rPr>
          <w:rFonts w:cs="David"/>
          <w:sz w:val="22"/>
          <w:szCs w:val="22"/>
        </w:rPr>
      </w:pPr>
      <w:r w:rsidRPr="00341C3E">
        <w:rPr>
          <w:rFonts w:cs="David"/>
          <w:sz w:val="22"/>
          <w:szCs w:val="22"/>
          <w:rtl/>
        </w:rPr>
        <w:t xml:space="preserve">                השנה.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p>
    <w:p w:rsidR="00341C3E" w:rsidRPr="00341C3E" w:rsidRDefault="00341C3E" w:rsidP="00341C3E">
      <w:pPr>
        <w:pStyle w:val="a3"/>
        <w:rPr>
          <w:rFonts w:cs="David"/>
          <w:sz w:val="22"/>
          <w:szCs w:val="22"/>
        </w:rPr>
      </w:pPr>
    </w:p>
    <w:p w:rsidR="00341C3E" w:rsidRPr="00341C3E" w:rsidRDefault="00341C3E" w:rsidP="00341C3E">
      <w:pPr>
        <w:pStyle w:val="a3"/>
        <w:rPr>
          <w:rFonts w:cs="David"/>
          <w:sz w:val="22"/>
          <w:szCs w:val="22"/>
        </w:rPr>
      </w:pPr>
      <w:r w:rsidRPr="00341C3E">
        <w:rPr>
          <w:rFonts w:cs="David"/>
          <w:sz w:val="22"/>
          <w:szCs w:val="22"/>
          <w:rtl/>
        </w:rPr>
        <w:t xml:space="preserve">  3 גופים מתוקצבים, תאגידים וחברות ממשלתיות הממשיכים לפעול לפי השיטה הישנה  </w:t>
      </w:r>
    </w:p>
    <w:p w:rsidR="00341C3E" w:rsidRPr="00341C3E" w:rsidRDefault="00341C3E" w:rsidP="00341C3E">
      <w:pPr>
        <w:pStyle w:val="a3"/>
        <w:rPr>
          <w:rFonts w:cs="David"/>
          <w:sz w:val="22"/>
          <w:szCs w:val="22"/>
        </w:rPr>
      </w:pPr>
      <w:r w:rsidRPr="00341C3E">
        <w:rPr>
          <w:rFonts w:cs="David"/>
          <w:sz w:val="22"/>
          <w:szCs w:val="22"/>
          <w:rtl/>
        </w:rPr>
        <w:t xml:space="preserve">    -----------------------------------------------------------------------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3.1 התעריף להוצאות קבועות ומשתנות בגופים מתוקצבים, תאגידים וחברות  ממשלתיות,</w:t>
      </w:r>
    </w:p>
    <w:p w:rsidR="00341C3E" w:rsidRPr="00341C3E" w:rsidRDefault="00341C3E" w:rsidP="00341C3E">
      <w:pPr>
        <w:pStyle w:val="a3"/>
        <w:rPr>
          <w:rFonts w:cs="David"/>
          <w:sz w:val="22"/>
          <w:szCs w:val="22"/>
        </w:rPr>
      </w:pPr>
      <w:r w:rsidRPr="00341C3E">
        <w:rPr>
          <w:rFonts w:cs="David"/>
          <w:sz w:val="22"/>
          <w:szCs w:val="22"/>
          <w:rtl/>
        </w:rPr>
        <w:t xml:space="preserve">    הממשיכים לפעול לפי השיטה הישנה (ראה חוזר נציב  שירות  המדינה  מ-28.5.80)</w:t>
      </w:r>
    </w:p>
    <w:p w:rsidR="00341C3E" w:rsidRPr="00341C3E" w:rsidRDefault="00341C3E" w:rsidP="00341C3E">
      <w:pPr>
        <w:pStyle w:val="a3"/>
        <w:rPr>
          <w:rFonts w:cs="David"/>
          <w:sz w:val="22"/>
          <w:szCs w:val="22"/>
        </w:rPr>
      </w:pPr>
      <w:r w:rsidRPr="00341C3E">
        <w:rPr>
          <w:rFonts w:cs="David"/>
          <w:sz w:val="22"/>
          <w:szCs w:val="22"/>
          <w:rtl/>
        </w:rPr>
        <w:t xml:space="preserve">    יהיה בתחולה מה-1 בנובמבר 1988 כלהלן: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3.2 ההוצאות הקבועות לרכב שירות: - סמל מחשב: 0700                            </w:t>
      </w:r>
    </w:p>
    <w:p w:rsidR="00341C3E" w:rsidRPr="00341C3E" w:rsidRDefault="00341C3E" w:rsidP="00341C3E">
      <w:pPr>
        <w:pStyle w:val="a3"/>
        <w:rPr>
          <w:rFonts w:cs="David"/>
          <w:sz w:val="22"/>
          <w:szCs w:val="22"/>
        </w:rPr>
      </w:pPr>
      <w:r w:rsidRPr="00341C3E">
        <w:rPr>
          <w:rFonts w:cs="David"/>
          <w:sz w:val="22"/>
          <w:szCs w:val="22"/>
          <w:rtl/>
        </w:rPr>
        <w:t xml:space="preserve">    - - - - - - - - - - - - - -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רמת ניידות         קוד דיווח         סכום ההוצאות הקבועות ברוטו לחודש   </w:t>
      </w:r>
    </w:p>
    <w:p w:rsidR="00341C3E" w:rsidRPr="00341C3E" w:rsidRDefault="00341C3E" w:rsidP="00341C3E">
      <w:pPr>
        <w:pStyle w:val="a3"/>
        <w:rPr>
          <w:rFonts w:cs="David"/>
          <w:sz w:val="22"/>
          <w:szCs w:val="22"/>
        </w:rPr>
      </w:pPr>
      <w:r w:rsidRPr="00341C3E">
        <w:rPr>
          <w:rFonts w:cs="David"/>
          <w:sz w:val="22"/>
          <w:szCs w:val="22"/>
          <w:rtl/>
        </w:rPr>
        <w:t xml:space="preserve">    ----------        </w:t>
      </w:r>
      <w:r w:rsidR="008F1C64">
        <w:rPr>
          <w:rFonts w:cs="David" w:hint="cs"/>
          <w:sz w:val="22"/>
          <w:szCs w:val="22"/>
          <w:rtl/>
        </w:rPr>
        <w:t xml:space="preserve">     </w:t>
      </w:r>
      <w:r w:rsidRPr="00341C3E">
        <w:rPr>
          <w:rFonts w:cs="David"/>
          <w:sz w:val="22"/>
          <w:szCs w:val="22"/>
          <w:rtl/>
        </w:rPr>
        <w:t xml:space="preserve"> ---------         --------------------------------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א                </w:t>
      </w:r>
      <w:r w:rsidR="008F1C64">
        <w:rPr>
          <w:rFonts w:cs="David" w:hint="cs"/>
          <w:sz w:val="22"/>
          <w:szCs w:val="22"/>
          <w:rtl/>
        </w:rPr>
        <w:t xml:space="preserve">   </w:t>
      </w:r>
      <w:r w:rsidRPr="00341C3E">
        <w:rPr>
          <w:rFonts w:cs="David"/>
          <w:sz w:val="22"/>
          <w:szCs w:val="22"/>
          <w:rtl/>
        </w:rPr>
        <w:t xml:space="preserve">  61         </w:t>
      </w:r>
      <w:r w:rsidR="00FF5C2E">
        <w:rPr>
          <w:rFonts w:cs="David" w:hint="cs"/>
          <w:sz w:val="22"/>
          <w:szCs w:val="22"/>
          <w:rtl/>
        </w:rPr>
        <w:t xml:space="preserve">     </w:t>
      </w:r>
      <w:r w:rsidR="008F1C64">
        <w:rPr>
          <w:rFonts w:cs="David" w:hint="cs"/>
          <w:sz w:val="22"/>
          <w:szCs w:val="22"/>
          <w:rtl/>
        </w:rPr>
        <w:t xml:space="preserve">   </w:t>
      </w:r>
      <w:r w:rsidRPr="00341C3E">
        <w:rPr>
          <w:rFonts w:cs="David"/>
          <w:sz w:val="22"/>
          <w:szCs w:val="22"/>
          <w:rtl/>
        </w:rPr>
        <w:t xml:space="preserve">   204.20  ש"ח     (במקום 178.95)     </w:t>
      </w:r>
    </w:p>
    <w:p w:rsidR="00341C3E" w:rsidRPr="00341C3E" w:rsidRDefault="00341C3E" w:rsidP="00341C3E">
      <w:pPr>
        <w:pStyle w:val="a3"/>
        <w:rPr>
          <w:rFonts w:cs="David"/>
          <w:sz w:val="22"/>
          <w:szCs w:val="22"/>
        </w:rPr>
      </w:pPr>
      <w:r w:rsidRPr="00341C3E">
        <w:rPr>
          <w:rFonts w:cs="David"/>
          <w:sz w:val="22"/>
          <w:szCs w:val="22"/>
          <w:rtl/>
        </w:rPr>
        <w:t xml:space="preserve">        ב              </w:t>
      </w:r>
      <w:r w:rsidR="008F1C64">
        <w:rPr>
          <w:rFonts w:cs="David" w:hint="cs"/>
          <w:sz w:val="22"/>
          <w:szCs w:val="22"/>
          <w:rtl/>
        </w:rPr>
        <w:t xml:space="preserve">   </w:t>
      </w:r>
      <w:r w:rsidRPr="00341C3E">
        <w:rPr>
          <w:rFonts w:cs="David"/>
          <w:sz w:val="22"/>
          <w:szCs w:val="22"/>
          <w:rtl/>
        </w:rPr>
        <w:t xml:space="preserve">    62          </w:t>
      </w:r>
      <w:r w:rsidR="008F1C64">
        <w:rPr>
          <w:rFonts w:cs="David" w:hint="cs"/>
          <w:sz w:val="22"/>
          <w:szCs w:val="22"/>
          <w:rtl/>
        </w:rPr>
        <w:t xml:space="preserve">         </w:t>
      </w:r>
      <w:r w:rsidRPr="00341C3E">
        <w:rPr>
          <w:rFonts w:cs="David"/>
          <w:sz w:val="22"/>
          <w:szCs w:val="22"/>
          <w:rtl/>
        </w:rPr>
        <w:t xml:space="preserve">  283.76  ש"ח     (  "   248.75)     </w:t>
      </w:r>
    </w:p>
    <w:p w:rsidR="00341C3E" w:rsidRPr="00341C3E" w:rsidRDefault="00341C3E" w:rsidP="00341C3E">
      <w:pPr>
        <w:pStyle w:val="a3"/>
        <w:rPr>
          <w:rFonts w:cs="David"/>
          <w:sz w:val="22"/>
          <w:szCs w:val="22"/>
        </w:rPr>
      </w:pPr>
      <w:r w:rsidRPr="00341C3E">
        <w:rPr>
          <w:rFonts w:cs="David"/>
          <w:sz w:val="22"/>
          <w:szCs w:val="22"/>
          <w:rtl/>
        </w:rPr>
        <w:t xml:space="preserve">        ג              </w:t>
      </w:r>
      <w:r w:rsidR="008F1C64">
        <w:rPr>
          <w:rFonts w:cs="David" w:hint="cs"/>
          <w:sz w:val="22"/>
          <w:szCs w:val="22"/>
          <w:rtl/>
        </w:rPr>
        <w:t xml:space="preserve">    </w:t>
      </w:r>
      <w:r w:rsidRPr="00341C3E">
        <w:rPr>
          <w:rFonts w:cs="David"/>
          <w:sz w:val="22"/>
          <w:szCs w:val="22"/>
          <w:rtl/>
        </w:rPr>
        <w:t xml:space="preserve">    63          </w:t>
      </w:r>
      <w:r w:rsidR="008F1C64">
        <w:rPr>
          <w:rFonts w:cs="David" w:hint="cs"/>
          <w:sz w:val="22"/>
          <w:szCs w:val="22"/>
          <w:rtl/>
        </w:rPr>
        <w:t xml:space="preserve">        </w:t>
      </w:r>
      <w:r w:rsidRPr="00341C3E">
        <w:rPr>
          <w:rFonts w:cs="David"/>
          <w:sz w:val="22"/>
          <w:szCs w:val="22"/>
          <w:rtl/>
        </w:rPr>
        <w:t xml:space="preserve">  363.31  ש"ח     (  "   318.54)     </w:t>
      </w:r>
    </w:p>
    <w:p w:rsidR="00341C3E" w:rsidRPr="00341C3E" w:rsidRDefault="00341C3E" w:rsidP="00341C3E">
      <w:pPr>
        <w:pStyle w:val="a3"/>
        <w:rPr>
          <w:rFonts w:cs="David"/>
          <w:sz w:val="22"/>
          <w:szCs w:val="22"/>
        </w:rPr>
      </w:pPr>
      <w:r w:rsidRPr="00341C3E">
        <w:rPr>
          <w:rFonts w:cs="David"/>
          <w:sz w:val="22"/>
          <w:szCs w:val="22"/>
          <w:rtl/>
        </w:rPr>
        <w:t xml:space="preserve">        ד              </w:t>
      </w:r>
      <w:r w:rsidR="008F1C64">
        <w:rPr>
          <w:rFonts w:cs="David" w:hint="cs"/>
          <w:sz w:val="22"/>
          <w:szCs w:val="22"/>
          <w:rtl/>
        </w:rPr>
        <w:t xml:space="preserve">   </w:t>
      </w:r>
      <w:r w:rsidRPr="00341C3E">
        <w:rPr>
          <w:rFonts w:cs="David"/>
          <w:sz w:val="22"/>
          <w:szCs w:val="22"/>
          <w:rtl/>
        </w:rPr>
        <w:t xml:space="preserve">    64           </w:t>
      </w:r>
      <w:r w:rsidR="008F1C64">
        <w:rPr>
          <w:rFonts w:cs="David" w:hint="cs"/>
          <w:sz w:val="22"/>
          <w:szCs w:val="22"/>
          <w:rtl/>
        </w:rPr>
        <w:t xml:space="preserve">        </w:t>
      </w:r>
      <w:r w:rsidRPr="00341C3E">
        <w:rPr>
          <w:rFonts w:cs="David"/>
          <w:sz w:val="22"/>
          <w:szCs w:val="22"/>
          <w:rtl/>
        </w:rPr>
        <w:t xml:space="preserve"> 429.61  ש"ח     (  "   376.71)     </w:t>
      </w:r>
    </w:p>
    <w:p w:rsidR="00341C3E" w:rsidRPr="00341C3E" w:rsidRDefault="00341C3E" w:rsidP="00341C3E">
      <w:pPr>
        <w:pStyle w:val="a3"/>
        <w:rPr>
          <w:rFonts w:cs="David"/>
          <w:sz w:val="22"/>
          <w:szCs w:val="22"/>
        </w:rPr>
      </w:pPr>
      <w:r w:rsidRPr="00341C3E">
        <w:rPr>
          <w:rFonts w:cs="David"/>
          <w:sz w:val="22"/>
          <w:szCs w:val="22"/>
          <w:rtl/>
        </w:rPr>
        <w:t xml:space="preserve">                        </w:t>
      </w:r>
      <w:r w:rsidR="008F1C64">
        <w:rPr>
          <w:rFonts w:cs="David" w:hint="cs"/>
          <w:sz w:val="22"/>
          <w:szCs w:val="22"/>
          <w:rtl/>
        </w:rPr>
        <w:t xml:space="preserve"> </w:t>
      </w: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הסכומים הנ"ל כוללים החזר עבור דמי חניה.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3.3 ההוצאות הקבועות לרכב אישי: - סמל מחשב: 0700                             </w:t>
      </w:r>
    </w:p>
    <w:p w:rsidR="00341C3E" w:rsidRPr="00341C3E" w:rsidRDefault="00341C3E" w:rsidP="00341C3E">
      <w:pPr>
        <w:pStyle w:val="a3"/>
        <w:rPr>
          <w:rFonts w:cs="David"/>
          <w:sz w:val="22"/>
          <w:szCs w:val="22"/>
        </w:rPr>
      </w:pPr>
      <w:r w:rsidRPr="00341C3E">
        <w:rPr>
          <w:rFonts w:cs="David"/>
          <w:sz w:val="22"/>
          <w:szCs w:val="22"/>
          <w:rtl/>
        </w:rPr>
        <w:t xml:space="preserve">    - - - - - - - - - - - - -                                               </w:t>
      </w:r>
    </w:p>
    <w:p w:rsidR="00341C3E" w:rsidRPr="00341C3E" w:rsidRDefault="00341C3E" w:rsidP="00341C3E">
      <w:pPr>
        <w:pStyle w:val="a3"/>
        <w:rPr>
          <w:rFonts w:cs="David"/>
          <w:sz w:val="22"/>
          <w:szCs w:val="22"/>
        </w:rPr>
      </w:pPr>
      <w:r w:rsidRPr="00341C3E">
        <w:rPr>
          <w:rFonts w:cs="David"/>
          <w:sz w:val="22"/>
          <w:szCs w:val="22"/>
          <w:rtl/>
        </w:rPr>
        <w:lastRenderedPageBreak/>
        <w:t xml:space="preserve">                                                                            </w:t>
      </w:r>
    </w:p>
    <w:p w:rsidR="00341C3E" w:rsidRPr="00341C3E" w:rsidRDefault="00FF5C2E" w:rsidP="00341C3E">
      <w:pPr>
        <w:pStyle w:val="a3"/>
        <w:rPr>
          <w:rFonts w:cs="David"/>
          <w:sz w:val="22"/>
          <w:szCs w:val="22"/>
        </w:rPr>
      </w:pPr>
      <w:r>
        <w:rPr>
          <w:rFonts w:cs="David"/>
          <w:sz w:val="22"/>
          <w:szCs w:val="22"/>
          <w:rtl/>
        </w:rPr>
        <w:t xml:space="preserve">   רמת ניידות       </w:t>
      </w:r>
      <w:r w:rsidR="00341C3E" w:rsidRPr="00341C3E">
        <w:rPr>
          <w:rFonts w:cs="David"/>
          <w:sz w:val="22"/>
          <w:szCs w:val="22"/>
          <w:rtl/>
        </w:rPr>
        <w:t xml:space="preserve"> קוד דיווח         סכום ההוצאות הקבועות ברוטו לחודש   </w:t>
      </w:r>
    </w:p>
    <w:p w:rsidR="00341C3E" w:rsidRPr="00341C3E" w:rsidRDefault="00341C3E" w:rsidP="00341C3E">
      <w:pPr>
        <w:pStyle w:val="a3"/>
        <w:rPr>
          <w:rFonts w:cs="David"/>
          <w:sz w:val="22"/>
          <w:szCs w:val="22"/>
        </w:rPr>
      </w:pPr>
      <w:r w:rsidRPr="00341C3E">
        <w:rPr>
          <w:rFonts w:cs="David"/>
          <w:sz w:val="22"/>
          <w:szCs w:val="22"/>
          <w:rtl/>
        </w:rPr>
        <w:t xml:space="preserve">  ------------         ---------        </w:t>
      </w:r>
      <w:r w:rsidR="00FF5C2E">
        <w:rPr>
          <w:rFonts w:cs="David" w:hint="cs"/>
          <w:sz w:val="22"/>
          <w:szCs w:val="22"/>
          <w:rtl/>
        </w:rPr>
        <w:t xml:space="preserve">   </w:t>
      </w:r>
      <w:r w:rsidRPr="00341C3E">
        <w:rPr>
          <w:rFonts w:cs="David"/>
          <w:sz w:val="22"/>
          <w:szCs w:val="22"/>
          <w:rtl/>
        </w:rPr>
        <w:t xml:space="preserve"> --------------------------------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1                   71         </w:t>
      </w:r>
      <w:r w:rsidR="00FF5C2E">
        <w:rPr>
          <w:rFonts w:cs="David" w:hint="cs"/>
          <w:sz w:val="22"/>
          <w:szCs w:val="22"/>
          <w:rtl/>
        </w:rPr>
        <w:t xml:space="preserve">          </w:t>
      </w:r>
      <w:r w:rsidRPr="00341C3E">
        <w:rPr>
          <w:rFonts w:cs="David"/>
          <w:sz w:val="22"/>
          <w:szCs w:val="22"/>
          <w:rtl/>
        </w:rPr>
        <w:t xml:space="preserve">   46.41   ש"ח     (במקום  40.71 )    </w:t>
      </w:r>
    </w:p>
    <w:p w:rsidR="00341C3E" w:rsidRPr="00341C3E" w:rsidRDefault="00341C3E" w:rsidP="00341C3E">
      <w:pPr>
        <w:pStyle w:val="a3"/>
        <w:rPr>
          <w:rFonts w:cs="David"/>
          <w:sz w:val="22"/>
          <w:szCs w:val="22"/>
        </w:rPr>
      </w:pPr>
      <w:r w:rsidRPr="00341C3E">
        <w:rPr>
          <w:rFonts w:cs="David"/>
          <w:sz w:val="22"/>
          <w:szCs w:val="22"/>
          <w:rtl/>
        </w:rPr>
        <w:t xml:space="preserve">       2                   72         </w:t>
      </w:r>
      <w:r w:rsidR="00FF5C2E">
        <w:rPr>
          <w:rFonts w:cs="David" w:hint="cs"/>
          <w:sz w:val="22"/>
          <w:szCs w:val="22"/>
          <w:rtl/>
        </w:rPr>
        <w:t xml:space="preserve">          </w:t>
      </w:r>
      <w:r w:rsidRPr="00341C3E">
        <w:rPr>
          <w:rFonts w:cs="David"/>
          <w:sz w:val="22"/>
          <w:szCs w:val="22"/>
          <w:rtl/>
        </w:rPr>
        <w:t xml:space="preserve">   66.29   ש"ח     (  "    58.16 )    </w:t>
      </w:r>
    </w:p>
    <w:p w:rsidR="00341C3E" w:rsidRPr="00341C3E" w:rsidRDefault="00341C3E" w:rsidP="00341C3E">
      <w:pPr>
        <w:pStyle w:val="a3"/>
        <w:rPr>
          <w:rFonts w:cs="David"/>
          <w:sz w:val="22"/>
          <w:szCs w:val="22"/>
        </w:rPr>
      </w:pPr>
      <w:r w:rsidRPr="00341C3E">
        <w:rPr>
          <w:rFonts w:cs="David"/>
          <w:sz w:val="22"/>
          <w:szCs w:val="22"/>
          <w:rtl/>
        </w:rPr>
        <w:t xml:space="preserve">       3                   73          </w:t>
      </w:r>
      <w:r w:rsidR="00FF5C2E">
        <w:rPr>
          <w:rFonts w:cs="David" w:hint="cs"/>
          <w:sz w:val="22"/>
          <w:szCs w:val="22"/>
          <w:rtl/>
        </w:rPr>
        <w:t xml:space="preserve">          </w:t>
      </w:r>
      <w:r w:rsidRPr="00341C3E">
        <w:rPr>
          <w:rFonts w:cs="David"/>
          <w:sz w:val="22"/>
          <w:szCs w:val="22"/>
          <w:rtl/>
        </w:rPr>
        <w:t xml:space="preserve">  92.81   ש"ח     (  "    81.43 )    </w:t>
      </w:r>
    </w:p>
    <w:p w:rsidR="00341C3E" w:rsidRPr="00341C3E" w:rsidRDefault="00341C3E" w:rsidP="00341C3E">
      <w:pPr>
        <w:pStyle w:val="a3"/>
        <w:rPr>
          <w:rFonts w:cs="David"/>
          <w:sz w:val="22"/>
          <w:szCs w:val="22"/>
        </w:rPr>
      </w:pPr>
      <w:r w:rsidRPr="00341C3E">
        <w:rPr>
          <w:rFonts w:cs="David"/>
          <w:sz w:val="22"/>
          <w:szCs w:val="22"/>
          <w:rtl/>
        </w:rPr>
        <w:t xml:space="preserve">       4                   74        </w:t>
      </w:r>
      <w:r w:rsidR="00FF5C2E">
        <w:rPr>
          <w:rFonts w:cs="David" w:hint="cs"/>
          <w:sz w:val="22"/>
          <w:szCs w:val="22"/>
          <w:rtl/>
        </w:rPr>
        <w:t xml:space="preserve">          </w:t>
      </w:r>
      <w:r w:rsidRPr="00341C3E">
        <w:rPr>
          <w:rFonts w:cs="David"/>
          <w:sz w:val="22"/>
          <w:szCs w:val="22"/>
          <w:rtl/>
        </w:rPr>
        <w:t xml:space="preserve">    119.33  ש"ח     (  "    104.69)    </w:t>
      </w:r>
    </w:p>
    <w:p w:rsidR="00341C3E" w:rsidRPr="00341C3E" w:rsidRDefault="00341C3E" w:rsidP="007D0305">
      <w:pPr>
        <w:pStyle w:val="a3"/>
        <w:tabs>
          <w:tab w:val="left" w:pos="5044"/>
        </w:tabs>
        <w:rPr>
          <w:rFonts w:cs="David"/>
          <w:sz w:val="22"/>
          <w:szCs w:val="22"/>
        </w:rPr>
      </w:pPr>
      <w:r w:rsidRPr="00341C3E">
        <w:rPr>
          <w:rFonts w:cs="David"/>
          <w:sz w:val="22"/>
          <w:szCs w:val="22"/>
          <w:rtl/>
        </w:rPr>
        <w:t xml:space="preserve">       5                   75         </w:t>
      </w:r>
      <w:r w:rsidR="00FF5C2E">
        <w:rPr>
          <w:rFonts w:cs="David" w:hint="cs"/>
          <w:sz w:val="22"/>
          <w:szCs w:val="22"/>
          <w:rtl/>
        </w:rPr>
        <w:t xml:space="preserve">          </w:t>
      </w:r>
      <w:r w:rsidRPr="00341C3E">
        <w:rPr>
          <w:rFonts w:cs="David"/>
          <w:sz w:val="22"/>
          <w:szCs w:val="22"/>
          <w:rtl/>
        </w:rPr>
        <w:t xml:space="preserve">   145.84  ש"ח     (  "    127.96)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3.4 תעריף ההוצאות המשתנות יהיה 0.21 ש"ח לק"מ ברוטו, סמל מחשב: 1040.         </w:t>
      </w:r>
    </w:p>
    <w:p w:rsidR="00341C3E" w:rsidRPr="00341C3E" w:rsidRDefault="00341C3E" w:rsidP="00341C3E">
      <w:pPr>
        <w:pStyle w:val="a3"/>
        <w:rPr>
          <w:rFonts w:cs="David"/>
          <w:sz w:val="22"/>
          <w:szCs w:val="22"/>
        </w:rPr>
      </w:pPr>
    </w:p>
    <w:p w:rsidR="00341C3E" w:rsidRPr="00341C3E" w:rsidRDefault="00341C3E" w:rsidP="00341C3E">
      <w:pPr>
        <w:pStyle w:val="a3"/>
        <w:rPr>
          <w:rFonts w:cs="David"/>
          <w:sz w:val="22"/>
          <w:szCs w:val="22"/>
        </w:rPr>
      </w:pPr>
    </w:p>
    <w:p w:rsidR="00341C3E" w:rsidRPr="00341C3E" w:rsidRDefault="00341C3E" w:rsidP="00341C3E">
      <w:pPr>
        <w:pStyle w:val="a3"/>
        <w:rPr>
          <w:rFonts w:cs="David"/>
          <w:sz w:val="22"/>
          <w:szCs w:val="22"/>
        </w:rPr>
      </w:pPr>
      <w:r w:rsidRPr="00341C3E">
        <w:rPr>
          <w:rFonts w:cs="David"/>
          <w:sz w:val="22"/>
          <w:szCs w:val="22"/>
          <w:rtl/>
        </w:rPr>
        <w:t xml:space="preserve">  4 ביצוע התשלומים לפי התעריפים החדשים                                      </w:t>
      </w:r>
    </w:p>
    <w:p w:rsidR="00341C3E" w:rsidRPr="00341C3E" w:rsidRDefault="00341C3E" w:rsidP="00341C3E">
      <w:pPr>
        <w:pStyle w:val="a3"/>
        <w:rPr>
          <w:rFonts w:cs="David" w:hint="cs"/>
          <w:sz w:val="22"/>
          <w:szCs w:val="22"/>
        </w:rPr>
      </w:pPr>
      <w:r w:rsidRPr="00341C3E">
        <w:rPr>
          <w:rFonts w:cs="David"/>
          <w:sz w:val="22"/>
          <w:szCs w:val="22"/>
          <w:rtl/>
        </w:rPr>
        <w:t xml:space="preserve">    ----------------------------------                   </w:t>
      </w:r>
    </w:p>
    <w:p w:rsidR="00341C3E" w:rsidRPr="00341C3E" w:rsidRDefault="00341C3E" w:rsidP="00341C3E">
      <w:pPr>
        <w:pStyle w:val="a3"/>
        <w:rPr>
          <w:rFonts w:cs="David"/>
          <w:sz w:val="22"/>
          <w:szCs w:val="22"/>
        </w:rPr>
      </w:pPr>
    </w:p>
    <w:p w:rsidR="00341C3E" w:rsidRPr="00341C3E" w:rsidRDefault="00341C3E" w:rsidP="00341C3E">
      <w:pPr>
        <w:pStyle w:val="a3"/>
        <w:rPr>
          <w:rFonts w:cs="David"/>
          <w:sz w:val="22"/>
          <w:szCs w:val="22"/>
        </w:rPr>
      </w:pPr>
      <w:r w:rsidRPr="00341C3E">
        <w:rPr>
          <w:rFonts w:cs="David"/>
          <w:sz w:val="22"/>
          <w:szCs w:val="22"/>
          <w:rtl/>
        </w:rPr>
        <w:t>4.1 בכל מקום בחוזר זה, בו נקבע סכום נטו, יש לחשב  ולשלם  מס  הכנסה  -  בהתאם</w:t>
      </w:r>
    </w:p>
    <w:p w:rsidR="00341C3E" w:rsidRPr="00341C3E" w:rsidRDefault="00341C3E" w:rsidP="00341C3E">
      <w:pPr>
        <w:pStyle w:val="a3"/>
        <w:rPr>
          <w:rFonts w:cs="David"/>
          <w:sz w:val="22"/>
          <w:szCs w:val="22"/>
        </w:rPr>
      </w:pPr>
      <w:r w:rsidRPr="00341C3E">
        <w:rPr>
          <w:rFonts w:cs="David"/>
          <w:sz w:val="22"/>
          <w:szCs w:val="22"/>
          <w:rtl/>
        </w:rPr>
        <w:t xml:space="preserve">    לשיעור המס השולי של כל עובד.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4.2 מלם מערכות בע"מ יעדכן באורח אוטומטי את השינויים  בהוצאות  הקבועות  לבעלי</w:t>
      </w:r>
    </w:p>
    <w:p w:rsidR="00341C3E" w:rsidRPr="00341C3E" w:rsidRDefault="00341C3E" w:rsidP="00341C3E">
      <w:pPr>
        <w:pStyle w:val="a3"/>
        <w:rPr>
          <w:rFonts w:cs="David"/>
          <w:sz w:val="22"/>
          <w:szCs w:val="22"/>
        </w:rPr>
      </w:pPr>
      <w:r w:rsidRPr="00341C3E">
        <w:rPr>
          <w:rFonts w:cs="David"/>
          <w:sz w:val="22"/>
          <w:szCs w:val="22"/>
          <w:rtl/>
        </w:rPr>
        <w:t xml:space="preserve">    רכב שירות ואישי בעת הכנת המשכורת לחודש נובמבר 1988.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4.3 על החשבויות לדאוג לעידכון  התעריפים  החדשים  שלא  עודכנו  באורח  אוטומטי</w:t>
      </w:r>
    </w:p>
    <w:p w:rsidR="00341C3E" w:rsidRPr="00341C3E" w:rsidRDefault="00341C3E" w:rsidP="00341C3E">
      <w:pPr>
        <w:pStyle w:val="a3"/>
        <w:rPr>
          <w:rFonts w:cs="David"/>
          <w:sz w:val="22"/>
          <w:szCs w:val="22"/>
        </w:rPr>
      </w:pPr>
      <w:r w:rsidRPr="00341C3E">
        <w:rPr>
          <w:rFonts w:cs="David"/>
          <w:sz w:val="22"/>
          <w:szCs w:val="22"/>
          <w:rtl/>
        </w:rPr>
        <w:t xml:space="preserve">    על-ידי מלם.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4.4 חשבויות המשרדים, שמשכורת עובדיהם אינה נערכת  באמצעות  מלם  מערכות  בע"מ,</w:t>
      </w:r>
    </w:p>
    <w:p w:rsidR="00341C3E" w:rsidRPr="00341C3E" w:rsidRDefault="00341C3E" w:rsidP="00341C3E">
      <w:pPr>
        <w:pStyle w:val="a3"/>
        <w:rPr>
          <w:rFonts w:cs="David"/>
          <w:sz w:val="22"/>
          <w:szCs w:val="22"/>
        </w:rPr>
      </w:pPr>
      <w:r w:rsidRPr="00341C3E">
        <w:rPr>
          <w:rFonts w:cs="David"/>
          <w:sz w:val="22"/>
          <w:szCs w:val="22"/>
          <w:rtl/>
        </w:rPr>
        <w:t xml:space="preserve">    יפעלו בכפיפות לאמור בחוזר זה.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ב ב ר כ ה,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ח. פונדמינסקי  </w:t>
      </w:r>
    </w:p>
    <w:p w:rsidR="00341C3E" w:rsidRPr="00341C3E" w:rsidRDefault="00341C3E" w:rsidP="00341C3E">
      <w:pPr>
        <w:pStyle w:val="a3"/>
        <w:rPr>
          <w:rFonts w:cs="David"/>
          <w:sz w:val="22"/>
          <w:szCs w:val="22"/>
        </w:rPr>
      </w:pPr>
      <w:r w:rsidRPr="00341C3E">
        <w:rPr>
          <w:rFonts w:cs="David"/>
          <w:sz w:val="22"/>
          <w:szCs w:val="22"/>
          <w:rtl/>
        </w:rPr>
        <w:t xml:space="preserve">                                                             סגן החשב הכללי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                                                                            </w:t>
      </w:r>
    </w:p>
    <w:p w:rsidR="00341C3E" w:rsidRPr="00341C3E" w:rsidRDefault="00341C3E" w:rsidP="00341C3E">
      <w:pPr>
        <w:pStyle w:val="a3"/>
        <w:rPr>
          <w:rFonts w:cs="David"/>
          <w:sz w:val="22"/>
          <w:szCs w:val="22"/>
        </w:rPr>
      </w:pPr>
      <w:r w:rsidRPr="00341C3E">
        <w:rPr>
          <w:rFonts w:cs="David"/>
          <w:sz w:val="22"/>
          <w:szCs w:val="22"/>
          <w:rtl/>
        </w:rPr>
        <w:t xml:space="preserve">העתק: הממונה על השכר והסכמי עבודה - האוצר.                                  </w:t>
      </w:r>
    </w:p>
    <w:p w:rsidR="00341C3E" w:rsidRPr="00341C3E" w:rsidRDefault="00341C3E" w:rsidP="00341C3E">
      <w:pPr>
        <w:pStyle w:val="a3"/>
        <w:rPr>
          <w:rFonts w:cs="David"/>
          <w:sz w:val="22"/>
          <w:szCs w:val="22"/>
        </w:rPr>
      </w:pPr>
      <w:r w:rsidRPr="00341C3E">
        <w:rPr>
          <w:rFonts w:cs="David"/>
          <w:sz w:val="22"/>
          <w:szCs w:val="22"/>
          <w:rtl/>
        </w:rPr>
        <w:t xml:space="preserve">      נציבות  שירות המדינה.                                                 </w:t>
      </w:r>
    </w:p>
    <w:p w:rsidR="00341C3E" w:rsidRPr="00341C3E" w:rsidRDefault="00341C3E" w:rsidP="00341C3E">
      <w:pPr>
        <w:pStyle w:val="a3"/>
        <w:rPr>
          <w:rFonts w:cs="David"/>
          <w:sz w:val="22"/>
          <w:szCs w:val="22"/>
        </w:rPr>
      </w:pPr>
      <w:r w:rsidRPr="00341C3E">
        <w:rPr>
          <w:rFonts w:cs="David"/>
          <w:sz w:val="22"/>
          <w:szCs w:val="22"/>
          <w:rtl/>
        </w:rPr>
        <w:t xml:space="preserve">      סמנכ"לים לאמרכלות במשרדי הממשלה.                                      </w:t>
      </w:r>
    </w:p>
    <w:p w:rsidR="00341C3E" w:rsidRPr="00341C3E" w:rsidRDefault="00341C3E" w:rsidP="00341C3E">
      <w:pPr>
        <w:pStyle w:val="a3"/>
        <w:rPr>
          <w:rFonts w:cs="David"/>
          <w:sz w:val="22"/>
          <w:szCs w:val="22"/>
        </w:rPr>
      </w:pPr>
      <w:r w:rsidRPr="00341C3E">
        <w:rPr>
          <w:rFonts w:cs="David"/>
          <w:sz w:val="22"/>
          <w:szCs w:val="22"/>
          <w:rtl/>
        </w:rPr>
        <w:t xml:space="preserve">      מר מ. צבע, מנהל מח' שכר ותנאי שירות - החשב הכללי.                     </w:t>
      </w:r>
    </w:p>
    <w:p w:rsidR="00341C3E" w:rsidRPr="00341C3E" w:rsidRDefault="00341C3E" w:rsidP="00341C3E">
      <w:pPr>
        <w:pStyle w:val="a3"/>
        <w:rPr>
          <w:rFonts w:cs="David"/>
          <w:sz w:val="22"/>
          <w:szCs w:val="22"/>
        </w:rPr>
      </w:pPr>
      <w:r w:rsidRPr="00341C3E">
        <w:rPr>
          <w:rFonts w:cs="David"/>
          <w:sz w:val="22"/>
          <w:szCs w:val="22"/>
          <w:rtl/>
        </w:rPr>
        <w:t xml:space="preserve">      מנהל מחלקת משכורת, משרד                                               </w:t>
      </w:r>
    </w:p>
    <w:p w:rsidR="00341C3E" w:rsidRPr="007A21FF" w:rsidRDefault="00341C3E" w:rsidP="00341C3E">
      <w:pPr>
        <w:pStyle w:val="a3"/>
      </w:pPr>
    </w:p>
    <w:p w:rsidR="00ED5542" w:rsidRDefault="00ED5542" w:rsidP="00341C3E">
      <w:pPr>
        <w:pStyle w:val="a3"/>
        <w:rPr>
          <w:rFonts w:hint="cs"/>
          <w:rtl/>
        </w:rPr>
      </w:pPr>
      <w:r>
        <w:rPr>
          <w:rFonts w:hint="cs"/>
          <w:rtl/>
        </w:rPr>
        <w:t xml:space="preserve"> </w:t>
      </w:r>
      <w:r w:rsidRPr="00ED5542">
        <w:rPr>
          <w:rFonts w:hint="cs"/>
          <w:rtl/>
        </w:rPr>
        <w:t xml:space="preserve"> </w:t>
      </w:r>
    </w:p>
    <w:p w:rsidR="00475FB5" w:rsidRDefault="00475FB5" w:rsidP="00341C3E">
      <w:pPr>
        <w:pStyle w:val="a3"/>
        <w:rPr>
          <w:rFonts w:hint="cs"/>
          <w:rtl/>
        </w:rPr>
      </w:pPr>
    </w:p>
    <w:p w:rsidR="00475FB5" w:rsidRDefault="00AA67C6" w:rsidP="00AA67C6">
      <w:pPr>
        <w:pStyle w:val="2"/>
        <w:rPr>
          <w:rFonts w:hint="cs"/>
          <w:rtl/>
        </w:rPr>
      </w:pPr>
      <w:r>
        <w:rPr>
          <w:rtl/>
        </w:rPr>
        <w:br w:type="page"/>
      </w:r>
      <w:bookmarkStart w:id="64" w:name="_Toc144716293"/>
      <w:r w:rsidR="00475FB5">
        <w:rPr>
          <w:rFonts w:hint="cs"/>
          <w:rtl/>
        </w:rPr>
        <w:lastRenderedPageBreak/>
        <w:t xml:space="preserve">נספח ג </w:t>
      </w:r>
      <w:r w:rsidR="00475FB5">
        <w:rPr>
          <w:rtl/>
        </w:rPr>
        <w:t>–</w:t>
      </w:r>
      <w:r w:rsidR="00475FB5">
        <w:rPr>
          <w:rFonts w:hint="cs"/>
          <w:rtl/>
        </w:rPr>
        <w:t xml:space="preserve"> קבלת רשיון נהיגה בהשוואה מגדרית</w:t>
      </w:r>
      <w:bookmarkEnd w:id="64"/>
    </w:p>
    <w:p w:rsidR="00475FB5" w:rsidRDefault="00475FB5" w:rsidP="00475FB5">
      <w:pPr>
        <w:pStyle w:val="a3"/>
        <w:rPr>
          <w:rFonts w:cs="David" w:hint="cs"/>
          <w:sz w:val="24"/>
          <w:szCs w:val="24"/>
          <w:rtl/>
        </w:rPr>
      </w:pPr>
      <w:r>
        <w:rPr>
          <w:rFonts w:cs="David" w:hint="cs"/>
          <w:sz w:val="24"/>
          <w:szCs w:val="24"/>
          <w:rtl/>
        </w:rPr>
        <w:t>הנתונים ש</w:t>
      </w:r>
      <w:r w:rsidR="00EE359E">
        <w:rPr>
          <w:rFonts w:cs="David" w:hint="cs"/>
          <w:sz w:val="24"/>
          <w:szCs w:val="24"/>
          <w:rtl/>
        </w:rPr>
        <w:t xml:space="preserve">בטבלה </w:t>
      </w:r>
      <w:r>
        <w:rPr>
          <w:rFonts w:cs="David" w:hint="cs"/>
          <w:sz w:val="24"/>
          <w:szCs w:val="24"/>
          <w:rtl/>
        </w:rPr>
        <w:t>להלן לקוחים מהלשכה המרכזית לסטטיסטיקה, ומציגים בכל שנה את מספר הגברים שקבלו רשיון נהיגה לעומת</w:t>
      </w:r>
      <w:r w:rsidR="00972A08">
        <w:rPr>
          <w:rFonts w:cs="David" w:hint="cs"/>
          <w:sz w:val="24"/>
          <w:szCs w:val="24"/>
          <w:rtl/>
        </w:rPr>
        <w:t xml:space="preserve"> מספר הנשים, בין השנים 1985-2004.</w:t>
      </w:r>
    </w:p>
    <w:p w:rsidR="00972A08" w:rsidRDefault="00972A08" w:rsidP="00475FB5">
      <w:pPr>
        <w:pStyle w:val="a3"/>
        <w:rPr>
          <w:rFonts w:cs="David" w:hint="cs"/>
          <w:sz w:val="24"/>
          <w:szCs w:val="24"/>
          <w:rtl/>
        </w:rPr>
      </w:pPr>
    </w:p>
    <w:tbl>
      <w:tblPr>
        <w:tblpPr w:leftFromText="180" w:rightFromText="180" w:vertAnchor="text" w:horzAnchor="page" w:tblpX="5171" w:tblpY="46"/>
        <w:tblOverlap w:val="never"/>
        <w:bidiVisual/>
        <w:tblW w:w="5320" w:type="dxa"/>
        <w:tblLook w:val="0000"/>
      </w:tblPr>
      <w:tblGrid>
        <w:gridCol w:w="960"/>
        <w:gridCol w:w="960"/>
        <w:gridCol w:w="960"/>
        <w:gridCol w:w="960"/>
        <w:gridCol w:w="1480"/>
      </w:tblGrid>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F35CA6" w:rsidP="00F35CA6">
            <w:pPr>
              <w:jc w:val="both"/>
              <w:rPr>
                <w:rFonts w:ascii="Arial" w:hAnsi="Arial" w:hint="cs"/>
                <w:rtl/>
              </w:rPr>
            </w:pPr>
            <w:r>
              <w:rPr>
                <w:rFonts w:ascii="Arial" w:hAnsi="Arial" w:hint="cs"/>
                <w:rtl/>
              </w:rPr>
              <w:t>שנה</w:t>
            </w:r>
          </w:p>
        </w:tc>
        <w:tc>
          <w:tcPr>
            <w:tcW w:w="960" w:type="dxa"/>
            <w:tcBorders>
              <w:top w:val="nil"/>
              <w:left w:val="nil"/>
              <w:bottom w:val="single" w:sz="8" w:space="0" w:color="auto"/>
              <w:right w:val="single" w:sz="8" w:space="0" w:color="auto"/>
            </w:tcBorders>
            <w:shd w:val="clear" w:color="auto" w:fill="auto"/>
          </w:tcPr>
          <w:p w:rsidR="004F70F4" w:rsidRDefault="00F35CA6" w:rsidP="00F35CA6">
            <w:pPr>
              <w:jc w:val="both"/>
              <w:rPr>
                <w:rFonts w:ascii="Arial" w:hAnsi="Arial" w:hint="cs"/>
                <w:rtl/>
              </w:rPr>
            </w:pPr>
            <w:r w:rsidRPr="00F35CA6">
              <w:rPr>
                <w:rFonts w:ascii="Arial" w:hAnsi="Arial" w:hint="cs"/>
                <w:b/>
                <w:bCs/>
                <w:rtl/>
              </w:rPr>
              <w:t xml:space="preserve">גברים </w:t>
            </w:r>
            <w:r>
              <w:rPr>
                <w:rFonts w:ascii="Arial" w:hAnsi="Arial" w:hint="cs"/>
                <w:rtl/>
              </w:rPr>
              <w:t>בעלי רשיון נהיגה</w:t>
            </w:r>
          </w:p>
        </w:tc>
        <w:tc>
          <w:tcPr>
            <w:tcW w:w="960" w:type="dxa"/>
            <w:tcBorders>
              <w:top w:val="nil"/>
              <w:left w:val="nil"/>
              <w:bottom w:val="single" w:sz="8" w:space="0" w:color="auto"/>
              <w:right w:val="single" w:sz="8" w:space="0" w:color="auto"/>
            </w:tcBorders>
            <w:shd w:val="clear" w:color="auto" w:fill="auto"/>
          </w:tcPr>
          <w:p w:rsidR="004F70F4" w:rsidRDefault="00F35CA6" w:rsidP="00F35CA6">
            <w:pPr>
              <w:jc w:val="both"/>
              <w:rPr>
                <w:rFonts w:ascii="Arial" w:hAnsi="Arial" w:hint="cs"/>
                <w:rtl/>
              </w:rPr>
            </w:pPr>
            <w:r w:rsidRPr="00F35CA6">
              <w:rPr>
                <w:rFonts w:ascii="Arial" w:hAnsi="Arial" w:hint="cs"/>
                <w:b/>
                <w:bCs/>
                <w:rtl/>
              </w:rPr>
              <w:t xml:space="preserve">נשים </w:t>
            </w:r>
            <w:r>
              <w:rPr>
                <w:rFonts w:ascii="Arial" w:hAnsi="Arial" w:hint="cs"/>
                <w:rtl/>
              </w:rPr>
              <w:t>בעלות רשיון נהיגה</w:t>
            </w:r>
          </w:p>
        </w:tc>
        <w:tc>
          <w:tcPr>
            <w:tcW w:w="960" w:type="dxa"/>
            <w:tcBorders>
              <w:top w:val="nil"/>
              <w:left w:val="nil"/>
              <w:bottom w:val="single" w:sz="8" w:space="0" w:color="auto"/>
              <w:right w:val="single" w:sz="8" w:space="0" w:color="auto"/>
            </w:tcBorders>
            <w:shd w:val="clear" w:color="auto" w:fill="auto"/>
          </w:tcPr>
          <w:p w:rsidR="004F70F4" w:rsidRDefault="00F35CA6" w:rsidP="00F35CA6">
            <w:pPr>
              <w:jc w:val="both"/>
              <w:rPr>
                <w:rFonts w:ascii="Arial" w:hAnsi="Arial" w:hint="cs"/>
                <w:noProof/>
                <w:rtl/>
              </w:rPr>
            </w:pPr>
            <w:r w:rsidRPr="00F35CA6">
              <w:rPr>
                <w:rFonts w:ascii="Arial" w:hAnsi="Arial" w:hint="cs"/>
                <w:b/>
                <w:bCs/>
                <w:noProof/>
                <w:rtl/>
              </w:rPr>
              <w:t>סה"כ</w:t>
            </w:r>
            <w:r>
              <w:rPr>
                <w:rFonts w:ascii="Arial" w:hAnsi="Arial" w:hint="cs"/>
                <w:noProof/>
                <w:rtl/>
              </w:rPr>
              <w:t xml:space="preserve"> בעלי רשיון נהיגה</w:t>
            </w:r>
          </w:p>
        </w:tc>
        <w:tc>
          <w:tcPr>
            <w:tcW w:w="1480" w:type="dxa"/>
            <w:tcBorders>
              <w:top w:val="nil"/>
              <w:left w:val="nil"/>
              <w:bottom w:val="single" w:sz="8" w:space="0" w:color="auto"/>
              <w:right w:val="single" w:sz="8" w:space="0" w:color="auto"/>
            </w:tcBorders>
            <w:shd w:val="clear" w:color="auto" w:fill="auto"/>
          </w:tcPr>
          <w:p w:rsidR="004F70F4" w:rsidRDefault="00F35CA6" w:rsidP="00F35CA6">
            <w:pPr>
              <w:jc w:val="both"/>
              <w:rPr>
                <w:rFonts w:ascii="Arial" w:hAnsi="Arial" w:hint="cs"/>
                <w:rtl/>
              </w:rPr>
            </w:pPr>
            <w:r w:rsidRPr="00F35CA6">
              <w:rPr>
                <w:rFonts w:ascii="Arial" w:hAnsi="Arial" w:hint="cs"/>
                <w:b/>
                <w:bCs/>
                <w:rtl/>
              </w:rPr>
              <w:t>אחוז הנשים</w:t>
            </w:r>
            <w:r>
              <w:rPr>
                <w:rFonts w:ascii="Arial" w:hAnsi="Arial" w:hint="cs"/>
                <w:rtl/>
              </w:rPr>
              <w:t xml:space="preserve"> בעלות רשיון נהיגה </w:t>
            </w:r>
            <w:r w:rsidRPr="00F35CA6">
              <w:rPr>
                <w:rFonts w:ascii="Arial" w:hAnsi="Arial" w:hint="cs"/>
                <w:b/>
                <w:bCs/>
                <w:rtl/>
              </w:rPr>
              <w:t>מתוך כלל בעלי הרשיון</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2004</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56387</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48489</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noProof/>
                <w:rtl/>
              </w:rPr>
              <w:t>106880</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45</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2003</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55955</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50509</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106464</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47</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2002</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55853</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47808</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103661</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46</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2001</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57046</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45048</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102094</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44</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2000</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56340</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46212</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102552</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45</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1999</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57505</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44997</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102502</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44</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1998</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55198</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46333</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101531</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46</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1997</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51868</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43999</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95867</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46</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1996</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59217</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51919</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111136</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47</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1995</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61372</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50147</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111519</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45</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1994</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51869</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43522</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95391</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46</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1993</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59752</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46945</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106697</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44</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1992</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62269</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46632</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108901</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43</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1991</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80732</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50170</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130902</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38</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1990</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59027</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44350</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103377</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43</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1989</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49340</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38921</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88261</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44</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1988</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44639</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32424</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77063</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42</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1987</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36113</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26104</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62217</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42</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1986</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34218</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24373</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58591</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42</w:t>
            </w:r>
          </w:p>
        </w:tc>
      </w:tr>
      <w:tr w:rsidR="004F70F4">
        <w:trPr>
          <w:trHeight w:val="330"/>
        </w:trPr>
        <w:tc>
          <w:tcPr>
            <w:tcW w:w="960" w:type="dxa"/>
            <w:tcBorders>
              <w:top w:val="nil"/>
              <w:left w:val="single" w:sz="8" w:space="0" w:color="auto"/>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1985</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34629</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25761</w:t>
            </w:r>
          </w:p>
        </w:tc>
        <w:tc>
          <w:tcPr>
            <w:tcW w:w="96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60390</w:t>
            </w:r>
          </w:p>
        </w:tc>
        <w:tc>
          <w:tcPr>
            <w:tcW w:w="1480" w:type="dxa"/>
            <w:tcBorders>
              <w:top w:val="nil"/>
              <w:left w:val="nil"/>
              <w:bottom w:val="single" w:sz="8" w:space="0" w:color="auto"/>
              <w:right w:val="single" w:sz="8" w:space="0" w:color="auto"/>
            </w:tcBorders>
            <w:shd w:val="clear" w:color="auto" w:fill="auto"/>
          </w:tcPr>
          <w:p w:rsidR="004F70F4" w:rsidRDefault="004F70F4" w:rsidP="00F35CA6">
            <w:pPr>
              <w:jc w:val="both"/>
              <w:rPr>
                <w:rFonts w:ascii="Arial" w:hAnsi="Arial"/>
                <w:sz w:val="24"/>
              </w:rPr>
            </w:pPr>
            <w:r>
              <w:rPr>
                <w:rFonts w:ascii="Arial" w:hAnsi="Arial" w:hint="cs"/>
                <w:rtl/>
              </w:rPr>
              <w:t>43</w:t>
            </w:r>
          </w:p>
        </w:tc>
      </w:tr>
      <w:tr w:rsidR="004F70F4">
        <w:trPr>
          <w:trHeight w:val="255"/>
        </w:trPr>
        <w:tc>
          <w:tcPr>
            <w:tcW w:w="960" w:type="dxa"/>
            <w:tcBorders>
              <w:top w:val="nil"/>
              <w:left w:val="nil"/>
              <w:bottom w:val="nil"/>
              <w:right w:val="nil"/>
            </w:tcBorders>
            <w:shd w:val="clear" w:color="auto" w:fill="auto"/>
            <w:noWrap/>
            <w:vAlign w:val="bottom"/>
          </w:tcPr>
          <w:p w:rsidR="004F70F4" w:rsidRDefault="004F70F4" w:rsidP="00F35CA6">
            <w:pPr>
              <w:bidi w:val="0"/>
              <w:rPr>
                <w:rFonts w:ascii="Arial" w:hAnsi="Arial" w:cs="Arial"/>
                <w:szCs w:val="20"/>
              </w:rPr>
            </w:pPr>
          </w:p>
        </w:tc>
        <w:tc>
          <w:tcPr>
            <w:tcW w:w="960" w:type="dxa"/>
            <w:tcBorders>
              <w:top w:val="nil"/>
              <w:left w:val="nil"/>
              <w:bottom w:val="nil"/>
              <w:right w:val="nil"/>
            </w:tcBorders>
            <w:shd w:val="clear" w:color="auto" w:fill="auto"/>
            <w:noWrap/>
            <w:vAlign w:val="bottom"/>
          </w:tcPr>
          <w:p w:rsidR="004F70F4" w:rsidRDefault="004F70F4" w:rsidP="00F35CA6">
            <w:pPr>
              <w:bidi w:val="0"/>
              <w:rPr>
                <w:rFonts w:ascii="Arial" w:hAnsi="Arial" w:cs="Arial"/>
                <w:szCs w:val="20"/>
              </w:rPr>
            </w:pPr>
          </w:p>
        </w:tc>
        <w:tc>
          <w:tcPr>
            <w:tcW w:w="960" w:type="dxa"/>
            <w:tcBorders>
              <w:top w:val="nil"/>
              <w:left w:val="nil"/>
              <w:bottom w:val="nil"/>
              <w:right w:val="nil"/>
            </w:tcBorders>
            <w:shd w:val="clear" w:color="auto" w:fill="auto"/>
            <w:noWrap/>
            <w:vAlign w:val="bottom"/>
          </w:tcPr>
          <w:p w:rsidR="004F70F4" w:rsidRDefault="004F70F4" w:rsidP="00F35CA6">
            <w:pPr>
              <w:bidi w:val="0"/>
              <w:rPr>
                <w:rFonts w:ascii="Arial" w:hAnsi="Arial" w:cs="Arial"/>
                <w:szCs w:val="20"/>
              </w:rPr>
            </w:pPr>
          </w:p>
        </w:tc>
        <w:tc>
          <w:tcPr>
            <w:tcW w:w="960" w:type="dxa"/>
            <w:tcBorders>
              <w:top w:val="nil"/>
              <w:left w:val="nil"/>
              <w:bottom w:val="nil"/>
              <w:right w:val="nil"/>
            </w:tcBorders>
            <w:shd w:val="clear" w:color="auto" w:fill="auto"/>
            <w:noWrap/>
            <w:vAlign w:val="bottom"/>
          </w:tcPr>
          <w:p w:rsidR="004F70F4" w:rsidRDefault="004F70F4" w:rsidP="00F35CA6">
            <w:pPr>
              <w:bidi w:val="0"/>
              <w:rPr>
                <w:rFonts w:ascii="Arial" w:hAnsi="Arial" w:cs="Arial"/>
                <w:szCs w:val="20"/>
              </w:rPr>
            </w:pPr>
          </w:p>
        </w:tc>
        <w:tc>
          <w:tcPr>
            <w:tcW w:w="1480" w:type="dxa"/>
            <w:tcBorders>
              <w:top w:val="nil"/>
              <w:left w:val="nil"/>
              <w:bottom w:val="nil"/>
              <w:right w:val="nil"/>
            </w:tcBorders>
            <w:shd w:val="clear" w:color="auto" w:fill="auto"/>
            <w:noWrap/>
            <w:vAlign w:val="bottom"/>
          </w:tcPr>
          <w:p w:rsidR="004F70F4" w:rsidRDefault="004F70F4" w:rsidP="00F35CA6">
            <w:pPr>
              <w:bidi w:val="0"/>
              <w:jc w:val="right"/>
              <w:rPr>
                <w:rFonts w:ascii="Arial" w:hAnsi="Arial" w:cs="Arial" w:hint="cs"/>
                <w:szCs w:val="20"/>
                <w:rtl/>
              </w:rPr>
            </w:pPr>
            <w:r>
              <w:rPr>
                <w:rFonts w:ascii="Arial" w:hAnsi="Arial" w:cs="Arial"/>
                <w:szCs w:val="20"/>
              </w:rPr>
              <w:t>44</w:t>
            </w:r>
            <w:r w:rsidR="00F35CA6">
              <w:rPr>
                <w:rFonts w:ascii="Arial" w:hAnsi="Arial" w:cs="Arial"/>
                <w:szCs w:val="20"/>
              </w:rPr>
              <w:t>%</w:t>
            </w:r>
            <w:r w:rsidR="00F35CA6">
              <w:rPr>
                <w:rFonts w:ascii="Arial" w:hAnsi="Arial" w:cs="Arial" w:hint="cs"/>
                <w:szCs w:val="20"/>
                <w:rtl/>
              </w:rPr>
              <w:t>ממוצע כל השנים:</w:t>
            </w:r>
          </w:p>
        </w:tc>
      </w:tr>
    </w:tbl>
    <w:p w:rsidR="00972A08" w:rsidRDefault="00972A08" w:rsidP="00475FB5">
      <w:pPr>
        <w:pStyle w:val="a3"/>
        <w:rPr>
          <w:rFonts w:cs="David" w:hint="cs"/>
          <w:sz w:val="24"/>
          <w:szCs w:val="24"/>
          <w:rtl/>
        </w:rPr>
      </w:pPr>
    </w:p>
    <w:p w:rsidR="00475FB5" w:rsidRDefault="00475FB5" w:rsidP="00475FB5">
      <w:pPr>
        <w:pStyle w:val="a3"/>
        <w:rPr>
          <w:rFonts w:cs="David" w:hint="cs"/>
          <w:sz w:val="24"/>
          <w:szCs w:val="24"/>
          <w:rtl/>
        </w:rPr>
      </w:pPr>
    </w:p>
    <w:p w:rsidR="00972A08" w:rsidRDefault="00972A08" w:rsidP="00475FB5">
      <w:pPr>
        <w:pStyle w:val="a3"/>
        <w:rPr>
          <w:rFonts w:cs="David" w:hint="cs"/>
          <w:sz w:val="24"/>
          <w:szCs w:val="24"/>
          <w:rtl/>
        </w:rPr>
      </w:pPr>
    </w:p>
    <w:p w:rsidR="00475FB5" w:rsidRDefault="00475FB5" w:rsidP="00341C3E">
      <w:pPr>
        <w:pStyle w:val="a3"/>
        <w:rPr>
          <w:rFonts w:cs="David" w:hint="cs"/>
          <w:b/>
          <w:bCs/>
          <w:sz w:val="24"/>
          <w:szCs w:val="24"/>
          <w:u w:val="single"/>
          <w:rtl/>
        </w:rPr>
      </w:pPr>
      <w:r>
        <w:rPr>
          <w:rFonts w:cs="David" w:hint="cs"/>
          <w:b/>
          <w:bCs/>
          <w:sz w:val="24"/>
          <w:szCs w:val="24"/>
          <w:u w:val="single"/>
          <w:rtl/>
        </w:rPr>
        <w:t xml:space="preserve"> </w:t>
      </w:r>
    </w:p>
    <w:p w:rsidR="00BD4045" w:rsidRDefault="00AA67C6" w:rsidP="00AA67C6">
      <w:pPr>
        <w:pStyle w:val="2"/>
        <w:rPr>
          <w:rFonts w:hint="cs"/>
          <w:rtl/>
        </w:rPr>
      </w:pPr>
      <w:r>
        <w:rPr>
          <w:rtl/>
        </w:rPr>
        <w:br w:type="page"/>
      </w:r>
      <w:bookmarkStart w:id="65" w:name="_Toc144716294"/>
      <w:r w:rsidR="00BD4045">
        <w:rPr>
          <w:rFonts w:hint="cs"/>
          <w:rtl/>
        </w:rPr>
        <w:lastRenderedPageBreak/>
        <w:t xml:space="preserve">נספח ד </w:t>
      </w:r>
      <w:r w:rsidR="00BD4045">
        <w:rPr>
          <w:rtl/>
        </w:rPr>
        <w:t>–</w:t>
      </w:r>
      <w:r w:rsidR="003E1F05">
        <w:rPr>
          <w:rFonts w:hint="cs"/>
          <w:rtl/>
        </w:rPr>
        <w:t xml:space="preserve"> דו"ח הוצאות השכר בשירות המדינה</w:t>
      </w:r>
      <w:bookmarkEnd w:id="65"/>
      <w:r w:rsidR="00BD4045">
        <w:rPr>
          <w:rFonts w:hint="cs"/>
          <w:rtl/>
        </w:rPr>
        <w:t xml:space="preserve"> </w:t>
      </w:r>
    </w:p>
    <w:p w:rsidR="00BD4045" w:rsidRPr="003E1F05" w:rsidRDefault="003E1F05" w:rsidP="00341C3E">
      <w:pPr>
        <w:pStyle w:val="a3"/>
        <w:rPr>
          <w:rFonts w:cs="David" w:hint="cs"/>
          <w:sz w:val="24"/>
          <w:szCs w:val="24"/>
          <w:rtl/>
        </w:rPr>
      </w:pPr>
      <w:r>
        <w:rPr>
          <w:rFonts w:cs="David" w:hint="cs"/>
          <w:sz w:val="24"/>
          <w:szCs w:val="24"/>
          <w:rtl/>
        </w:rPr>
        <w:t>לקוח מתוך דו"ח הממונה על השכר והסכמי עבודה</w:t>
      </w:r>
      <w:r w:rsidR="00C014C7">
        <w:rPr>
          <w:rFonts w:cs="David" w:hint="cs"/>
          <w:sz w:val="24"/>
          <w:szCs w:val="24"/>
          <w:rtl/>
        </w:rPr>
        <w:t>, אשר פורסם במאי 2006:</w:t>
      </w:r>
    </w:p>
    <w:p w:rsidR="00BD4045" w:rsidRDefault="00BD4045" w:rsidP="00341C3E">
      <w:pPr>
        <w:pStyle w:val="a3"/>
        <w:rPr>
          <w:rFonts w:cs="David" w:hint="cs"/>
          <w:b/>
          <w:bCs/>
          <w:sz w:val="24"/>
          <w:szCs w:val="24"/>
          <w:u w:val="single"/>
          <w:rtl/>
        </w:rPr>
      </w:pPr>
    </w:p>
    <w:p w:rsidR="003E1F05" w:rsidRDefault="003E1F05" w:rsidP="003E1F05">
      <w:pPr>
        <w:rPr>
          <w:rFonts w:hint="cs"/>
          <w:rtl/>
        </w:rPr>
      </w:pPr>
      <w:r>
        <w:rPr>
          <w:rFonts w:hint="cs"/>
          <w:rtl/>
        </w:rPr>
        <w:t xml:space="preserve">"נעשתה השוואה בין שכר הגברים לשכר הנשים בשירות המדינה בדירוגים שונים תוך בדיקת תקופת נובמבר 2005... נתוני השכר שנבדקו הם: מס' המשרות, ממוצע שכר פנסיוני, ממוצע עבודה נוספת, ממוצע החזר הוצאות וממוצע שכר ברוטו". </w:t>
      </w:r>
    </w:p>
    <w:p w:rsidR="003E1F05" w:rsidRDefault="003E1F05" w:rsidP="003E1F05">
      <w:pPr>
        <w:rPr>
          <w:rFonts w:hint="cs"/>
          <w:rtl/>
        </w:rPr>
      </w:pPr>
    </w:p>
    <w:p w:rsidR="003E1F05" w:rsidRDefault="003E1F05" w:rsidP="003E1F05">
      <w:pPr>
        <w:rPr>
          <w:rFonts w:hint="cs"/>
          <w:rtl/>
        </w:rPr>
      </w:pPr>
      <w:r>
        <w:rPr>
          <w:rFonts w:hint="cs"/>
          <w:rtl/>
        </w:rPr>
        <w:t>להלן הנתונים עבור כלל עובדי המדינה (51,715 משרות, נכון לנובמבר 2005) ועבור דירוגים נבחרים:</w:t>
      </w:r>
    </w:p>
    <w:p w:rsidR="003E1F05" w:rsidRDefault="003E1F05" w:rsidP="003E1F05">
      <w:pPr>
        <w:rPr>
          <w:rFonts w:hint="cs"/>
          <w:b/>
          <w:bCs/>
          <w:u w:val="single"/>
          <w:rtl/>
        </w:rPr>
      </w:pPr>
      <w:r>
        <w:rPr>
          <w:rFonts w:hint="cs"/>
          <w:b/>
          <w:bCs/>
          <w:u w:val="single"/>
          <w:rtl/>
        </w:rPr>
        <w:t>עבור כלל עובדי המדינה:</w:t>
      </w:r>
    </w:p>
    <w:p w:rsidR="003E1F05" w:rsidRDefault="003E1F05" w:rsidP="003E1F05">
      <w:pPr>
        <w:rPr>
          <w:rFonts w:hint="cs"/>
          <w:u w:val="single"/>
          <w:rtl/>
        </w:rPr>
      </w:pPr>
    </w:p>
    <w:p w:rsidR="003E1F05" w:rsidRPr="00EE746E" w:rsidRDefault="003E1F05" w:rsidP="003E1F05">
      <w:pPr>
        <w:jc w:val="center"/>
        <w:rPr>
          <w:rFonts w:hint="cs"/>
          <w:rtl/>
        </w:rPr>
      </w:pPr>
    </w:p>
    <w:tbl>
      <w:tblPr>
        <w:tblStyle w:val="aa"/>
        <w:bidiVisual/>
        <w:tblW w:w="0" w:type="auto"/>
        <w:tblInd w:w="-226" w:type="dxa"/>
        <w:tblLook w:val="01E0"/>
      </w:tblPr>
      <w:tblGrid>
        <w:gridCol w:w="1646"/>
        <w:gridCol w:w="1420"/>
        <w:gridCol w:w="1420"/>
        <w:gridCol w:w="1420"/>
        <w:gridCol w:w="1421"/>
        <w:gridCol w:w="1421"/>
      </w:tblGrid>
      <w:tr w:rsidR="003E1F05" w:rsidRPr="00EE746E">
        <w:tc>
          <w:tcPr>
            <w:tcW w:w="1646" w:type="dxa"/>
          </w:tcPr>
          <w:p w:rsidR="003E1F05" w:rsidRPr="00EE746E" w:rsidRDefault="003E1F05" w:rsidP="00C014C7">
            <w:pPr>
              <w:jc w:val="center"/>
              <w:rPr>
                <w:rFonts w:hint="cs"/>
                <w:rtl/>
              </w:rPr>
            </w:pPr>
          </w:p>
        </w:tc>
        <w:tc>
          <w:tcPr>
            <w:tcW w:w="1420" w:type="dxa"/>
          </w:tcPr>
          <w:p w:rsidR="003E1F05" w:rsidRPr="00D311B0" w:rsidRDefault="003E1F05" w:rsidP="00C014C7">
            <w:pPr>
              <w:jc w:val="center"/>
              <w:rPr>
                <w:rFonts w:hint="cs"/>
                <w:b/>
                <w:bCs/>
                <w:rtl/>
              </w:rPr>
            </w:pPr>
            <w:r w:rsidRPr="00D311B0">
              <w:rPr>
                <w:rFonts w:hint="cs"/>
                <w:b/>
                <w:bCs/>
                <w:rtl/>
              </w:rPr>
              <w:t>מס' משרות</w:t>
            </w:r>
          </w:p>
        </w:tc>
        <w:tc>
          <w:tcPr>
            <w:tcW w:w="1420" w:type="dxa"/>
          </w:tcPr>
          <w:p w:rsidR="003E1F05" w:rsidRPr="00D311B0" w:rsidRDefault="003E1F05" w:rsidP="00C014C7">
            <w:pPr>
              <w:jc w:val="center"/>
              <w:rPr>
                <w:rFonts w:hint="cs"/>
                <w:b/>
                <w:bCs/>
                <w:rtl/>
              </w:rPr>
            </w:pPr>
            <w:r w:rsidRPr="00D311B0">
              <w:rPr>
                <w:rFonts w:hint="cs"/>
                <w:b/>
                <w:bCs/>
                <w:rtl/>
              </w:rPr>
              <w:t>שכר פנסיוני ממוצע</w:t>
            </w:r>
          </w:p>
        </w:tc>
        <w:tc>
          <w:tcPr>
            <w:tcW w:w="1420" w:type="dxa"/>
          </w:tcPr>
          <w:p w:rsidR="003E1F05" w:rsidRPr="00D311B0" w:rsidRDefault="003E1F05" w:rsidP="00C014C7">
            <w:pPr>
              <w:jc w:val="center"/>
              <w:rPr>
                <w:rFonts w:hint="cs"/>
                <w:b/>
                <w:bCs/>
                <w:rtl/>
              </w:rPr>
            </w:pPr>
            <w:r w:rsidRPr="00D311B0">
              <w:rPr>
                <w:rFonts w:hint="cs"/>
                <w:b/>
                <w:bCs/>
                <w:rtl/>
              </w:rPr>
              <w:t>ממוצע עבודה נוספת</w:t>
            </w:r>
          </w:p>
        </w:tc>
        <w:tc>
          <w:tcPr>
            <w:tcW w:w="1421" w:type="dxa"/>
          </w:tcPr>
          <w:p w:rsidR="003E1F05" w:rsidRPr="00D311B0" w:rsidRDefault="003E1F05" w:rsidP="00C014C7">
            <w:pPr>
              <w:jc w:val="center"/>
              <w:rPr>
                <w:rFonts w:hint="cs"/>
                <w:b/>
                <w:bCs/>
                <w:rtl/>
              </w:rPr>
            </w:pPr>
            <w:r w:rsidRPr="00D311B0">
              <w:rPr>
                <w:rFonts w:hint="cs"/>
                <w:b/>
                <w:bCs/>
                <w:rtl/>
              </w:rPr>
              <w:t>ממוצע החזר הוצאות</w:t>
            </w:r>
          </w:p>
        </w:tc>
        <w:tc>
          <w:tcPr>
            <w:tcW w:w="1421" w:type="dxa"/>
          </w:tcPr>
          <w:p w:rsidR="003E1F05" w:rsidRPr="00D311B0" w:rsidRDefault="003E1F05" w:rsidP="00C014C7">
            <w:pPr>
              <w:jc w:val="center"/>
              <w:rPr>
                <w:rFonts w:hint="cs"/>
                <w:b/>
                <w:bCs/>
                <w:rtl/>
              </w:rPr>
            </w:pPr>
            <w:r w:rsidRPr="00D311B0">
              <w:rPr>
                <w:rFonts w:hint="cs"/>
                <w:b/>
                <w:bCs/>
                <w:rtl/>
              </w:rPr>
              <w:t>ממוצע שכר ברוטו</w:t>
            </w:r>
          </w:p>
        </w:tc>
      </w:tr>
      <w:tr w:rsidR="003E1F05" w:rsidRPr="00EE746E">
        <w:tc>
          <w:tcPr>
            <w:tcW w:w="1646" w:type="dxa"/>
          </w:tcPr>
          <w:p w:rsidR="003E1F05" w:rsidRPr="00EE746E" w:rsidRDefault="003E1F05" w:rsidP="00C014C7">
            <w:pPr>
              <w:jc w:val="center"/>
              <w:rPr>
                <w:rFonts w:hint="cs"/>
                <w:rtl/>
              </w:rPr>
            </w:pPr>
            <w:r>
              <w:rPr>
                <w:rFonts w:hint="cs"/>
                <w:rtl/>
              </w:rPr>
              <w:t>נשים</w:t>
            </w:r>
          </w:p>
        </w:tc>
        <w:tc>
          <w:tcPr>
            <w:tcW w:w="1420" w:type="dxa"/>
          </w:tcPr>
          <w:p w:rsidR="003E1F05" w:rsidRPr="00EE746E" w:rsidRDefault="003E1F05" w:rsidP="00C014C7">
            <w:pPr>
              <w:jc w:val="center"/>
              <w:rPr>
                <w:rFonts w:hint="cs"/>
                <w:rtl/>
              </w:rPr>
            </w:pPr>
            <w:r>
              <w:rPr>
                <w:rFonts w:hint="cs"/>
                <w:rtl/>
              </w:rPr>
              <w:t>33,394.8</w:t>
            </w:r>
          </w:p>
        </w:tc>
        <w:tc>
          <w:tcPr>
            <w:tcW w:w="1420" w:type="dxa"/>
          </w:tcPr>
          <w:p w:rsidR="003E1F05" w:rsidRPr="00EE746E" w:rsidRDefault="003E1F05" w:rsidP="00C014C7">
            <w:pPr>
              <w:jc w:val="center"/>
              <w:rPr>
                <w:rFonts w:hint="cs"/>
                <w:rtl/>
              </w:rPr>
            </w:pPr>
            <w:r>
              <w:rPr>
                <w:rFonts w:hint="cs"/>
                <w:rtl/>
              </w:rPr>
              <w:t>5,965.8</w:t>
            </w:r>
          </w:p>
        </w:tc>
        <w:tc>
          <w:tcPr>
            <w:tcW w:w="1420" w:type="dxa"/>
          </w:tcPr>
          <w:p w:rsidR="003E1F05" w:rsidRPr="00EE746E" w:rsidRDefault="003E1F05" w:rsidP="00C014C7">
            <w:pPr>
              <w:jc w:val="center"/>
              <w:rPr>
                <w:rFonts w:hint="cs"/>
                <w:rtl/>
              </w:rPr>
            </w:pPr>
            <w:r>
              <w:rPr>
                <w:rFonts w:hint="cs"/>
                <w:rtl/>
              </w:rPr>
              <w:t>1,151.0</w:t>
            </w:r>
          </w:p>
        </w:tc>
        <w:tc>
          <w:tcPr>
            <w:tcW w:w="1421" w:type="dxa"/>
          </w:tcPr>
          <w:p w:rsidR="003E1F05" w:rsidRPr="00EE746E" w:rsidRDefault="003E1F05" w:rsidP="00C014C7">
            <w:pPr>
              <w:jc w:val="center"/>
              <w:rPr>
                <w:rFonts w:hint="cs"/>
                <w:rtl/>
              </w:rPr>
            </w:pPr>
            <w:r>
              <w:rPr>
                <w:rFonts w:hint="cs"/>
                <w:rtl/>
              </w:rPr>
              <w:t>795.4</w:t>
            </w:r>
          </w:p>
        </w:tc>
        <w:tc>
          <w:tcPr>
            <w:tcW w:w="1421" w:type="dxa"/>
          </w:tcPr>
          <w:p w:rsidR="003E1F05" w:rsidRPr="00EE746E" w:rsidRDefault="003E1F05" w:rsidP="00C014C7">
            <w:pPr>
              <w:jc w:val="center"/>
              <w:rPr>
                <w:rFonts w:hint="cs"/>
                <w:rtl/>
              </w:rPr>
            </w:pPr>
            <w:r>
              <w:rPr>
                <w:rFonts w:hint="cs"/>
                <w:rtl/>
              </w:rPr>
              <w:t>9,638.1</w:t>
            </w:r>
          </w:p>
        </w:tc>
      </w:tr>
      <w:tr w:rsidR="003E1F05" w:rsidRPr="00EE746E">
        <w:tc>
          <w:tcPr>
            <w:tcW w:w="1646" w:type="dxa"/>
          </w:tcPr>
          <w:p w:rsidR="003E1F05" w:rsidRPr="00EE746E" w:rsidRDefault="003E1F05" w:rsidP="00C014C7">
            <w:pPr>
              <w:jc w:val="center"/>
              <w:rPr>
                <w:rFonts w:hint="cs"/>
                <w:rtl/>
              </w:rPr>
            </w:pPr>
            <w:r>
              <w:rPr>
                <w:rFonts w:hint="cs"/>
                <w:rtl/>
              </w:rPr>
              <w:t>גברים</w:t>
            </w:r>
          </w:p>
        </w:tc>
        <w:tc>
          <w:tcPr>
            <w:tcW w:w="1420" w:type="dxa"/>
          </w:tcPr>
          <w:p w:rsidR="003E1F05" w:rsidRPr="00EE746E" w:rsidRDefault="003E1F05" w:rsidP="00C014C7">
            <w:pPr>
              <w:jc w:val="center"/>
              <w:rPr>
                <w:rFonts w:hint="cs"/>
                <w:rtl/>
              </w:rPr>
            </w:pPr>
            <w:r>
              <w:rPr>
                <w:rFonts w:hint="cs"/>
                <w:rtl/>
              </w:rPr>
              <w:t>18,320.7</w:t>
            </w:r>
          </w:p>
        </w:tc>
        <w:tc>
          <w:tcPr>
            <w:tcW w:w="1420" w:type="dxa"/>
          </w:tcPr>
          <w:p w:rsidR="003E1F05" w:rsidRPr="00EE746E" w:rsidRDefault="003E1F05" w:rsidP="00C014C7">
            <w:pPr>
              <w:jc w:val="center"/>
              <w:rPr>
                <w:rFonts w:hint="cs"/>
                <w:rtl/>
              </w:rPr>
            </w:pPr>
            <w:r>
              <w:rPr>
                <w:rFonts w:hint="cs"/>
                <w:rtl/>
              </w:rPr>
              <w:t>7,131.2</w:t>
            </w:r>
          </w:p>
        </w:tc>
        <w:tc>
          <w:tcPr>
            <w:tcW w:w="1420" w:type="dxa"/>
          </w:tcPr>
          <w:p w:rsidR="003E1F05" w:rsidRPr="00EE746E" w:rsidRDefault="003E1F05" w:rsidP="00C014C7">
            <w:pPr>
              <w:jc w:val="center"/>
              <w:rPr>
                <w:rFonts w:hint="cs"/>
                <w:rtl/>
              </w:rPr>
            </w:pPr>
            <w:r>
              <w:rPr>
                <w:rFonts w:hint="cs"/>
                <w:rtl/>
              </w:rPr>
              <w:t>2,530.8</w:t>
            </w:r>
          </w:p>
        </w:tc>
        <w:tc>
          <w:tcPr>
            <w:tcW w:w="1421" w:type="dxa"/>
          </w:tcPr>
          <w:p w:rsidR="003E1F05" w:rsidRPr="00EE746E" w:rsidRDefault="003E1F05" w:rsidP="00C014C7">
            <w:pPr>
              <w:jc w:val="center"/>
              <w:rPr>
                <w:rFonts w:hint="cs"/>
                <w:rtl/>
              </w:rPr>
            </w:pPr>
            <w:r>
              <w:rPr>
                <w:rFonts w:hint="cs"/>
                <w:rtl/>
              </w:rPr>
              <w:t>1,065.0</w:t>
            </w:r>
          </w:p>
        </w:tc>
        <w:tc>
          <w:tcPr>
            <w:tcW w:w="1421" w:type="dxa"/>
          </w:tcPr>
          <w:p w:rsidR="003E1F05" w:rsidRPr="00EE746E" w:rsidRDefault="003E1F05" w:rsidP="00C014C7">
            <w:pPr>
              <w:jc w:val="center"/>
              <w:rPr>
                <w:rFonts w:hint="cs"/>
                <w:rtl/>
              </w:rPr>
            </w:pPr>
            <w:r>
              <w:rPr>
                <w:rFonts w:hint="cs"/>
                <w:rtl/>
              </w:rPr>
              <w:t>12,623.0</w:t>
            </w:r>
          </w:p>
        </w:tc>
      </w:tr>
      <w:tr w:rsidR="003E1F05" w:rsidRPr="00EE746E">
        <w:tc>
          <w:tcPr>
            <w:tcW w:w="1646" w:type="dxa"/>
          </w:tcPr>
          <w:p w:rsidR="003E1F05" w:rsidRPr="00D311B0" w:rsidRDefault="003E1F05" w:rsidP="00C014C7">
            <w:pPr>
              <w:jc w:val="center"/>
              <w:rPr>
                <w:b/>
                <w:bCs/>
                <w:rtl/>
              </w:rPr>
            </w:pPr>
            <w:r>
              <w:rPr>
                <w:rFonts w:hint="cs"/>
                <w:b/>
                <w:bCs/>
                <w:rtl/>
              </w:rPr>
              <w:t>יחס גברים/נשים-</w:t>
            </w:r>
            <w:r>
              <w:rPr>
                <w:rFonts w:hint="cs"/>
                <w:b/>
                <w:bCs/>
              </w:rPr>
              <w:t>A</w:t>
            </w:r>
            <w:r>
              <w:rPr>
                <w:b/>
                <w:bCs/>
              </w:rPr>
              <w:t xml:space="preserve"> </w:t>
            </w:r>
          </w:p>
        </w:tc>
        <w:tc>
          <w:tcPr>
            <w:tcW w:w="1420" w:type="dxa"/>
            <w:vAlign w:val="bottom"/>
          </w:tcPr>
          <w:p w:rsidR="003E1F05" w:rsidRPr="00D311B0" w:rsidRDefault="003E1F05" w:rsidP="00C014C7">
            <w:pPr>
              <w:jc w:val="center"/>
              <w:rPr>
                <w:rFonts w:hint="cs"/>
                <w:b/>
                <w:bCs/>
                <w:rtl/>
              </w:rPr>
            </w:pPr>
            <w:r>
              <w:rPr>
                <w:rFonts w:hint="cs"/>
                <w:b/>
                <w:bCs/>
                <w:rtl/>
              </w:rPr>
              <w:t>54.9%</w:t>
            </w:r>
          </w:p>
        </w:tc>
        <w:tc>
          <w:tcPr>
            <w:tcW w:w="1420" w:type="dxa"/>
            <w:vAlign w:val="bottom"/>
          </w:tcPr>
          <w:p w:rsidR="003E1F05" w:rsidRPr="00D311B0" w:rsidRDefault="003E1F05" w:rsidP="00C014C7">
            <w:pPr>
              <w:jc w:val="center"/>
              <w:rPr>
                <w:rFonts w:hint="cs"/>
                <w:b/>
                <w:bCs/>
                <w:rtl/>
              </w:rPr>
            </w:pPr>
            <w:r>
              <w:rPr>
                <w:rFonts w:hint="cs"/>
                <w:b/>
                <w:bCs/>
                <w:rtl/>
              </w:rPr>
              <w:t>119.5%</w:t>
            </w:r>
          </w:p>
        </w:tc>
        <w:tc>
          <w:tcPr>
            <w:tcW w:w="1420" w:type="dxa"/>
            <w:vAlign w:val="bottom"/>
          </w:tcPr>
          <w:p w:rsidR="003E1F05" w:rsidRPr="00D311B0" w:rsidRDefault="003E1F05" w:rsidP="00C014C7">
            <w:pPr>
              <w:jc w:val="center"/>
              <w:rPr>
                <w:rFonts w:hint="cs"/>
                <w:b/>
                <w:bCs/>
                <w:rtl/>
              </w:rPr>
            </w:pPr>
            <w:r>
              <w:rPr>
                <w:rFonts w:hint="cs"/>
                <w:b/>
                <w:bCs/>
                <w:rtl/>
              </w:rPr>
              <w:t>219.9%</w:t>
            </w:r>
          </w:p>
        </w:tc>
        <w:tc>
          <w:tcPr>
            <w:tcW w:w="1421" w:type="dxa"/>
            <w:vAlign w:val="bottom"/>
          </w:tcPr>
          <w:p w:rsidR="003E1F05" w:rsidRPr="00D311B0" w:rsidRDefault="003E1F05" w:rsidP="00C014C7">
            <w:pPr>
              <w:jc w:val="center"/>
              <w:rPr>
                <w:rFonts w:hint="cs"/>
                <w:b/>
                <w:bCs/>
                <w:rtl/>
              </w:rPr>
            </w:pPr>
            <w:r>
              <w:rPr>
                <w:rFonts w:hint="cs"/>
                <w:b/>
                <w:bCs/>
                <w:rtl/>
              </w:rPr>
              <w:t>133.9%</w:t>
            </w:r>
          </w:p>
        </w:tc>
        <w:tc>
          <w:tcPr>
            <w:tcW w:w="1421" w:type="dxa"/>
            <w:vAlign w:val="bottom"/>
          </w:tcPr>
          <w:p w:rsidR="003E1F05" w:rsidRPr="00D311B0" w:rsidRDefault="003E1F05" w:rsidP="00C014C7">
            <w:pPr>
              <w:jc w:val="center"/>
              <w:rPr>
                <w:rFonts w:hint="cs"/>
                <w:b/>
                <w:bCs/>
                <w:rtl/>
              </w:rPr>
            </w:pPr>
            <w:r>
              <w:rPr>
                <w:rFonts w:hint="cs"/>
                <w:b/>
                <w:bCs/>
                <w:rtl/>
              </w:rPr>
              <w:t>131.0%</w:t>
            </w:r>
          </w:p>
        </w:tc>
      </w:tr>
    </w:tbl>
    <w:p w:rsidR="003E1F05" w:rsidRDefault="003E1F05" w:rsidP="003E1F05">
      <w:pPr>
        <w:rPr>
          <w:rFonts w:hint="cs"/>
          <w:u w:val="single"/>
          <w:rtl/>
        </w:rPr>
      </w:pPr>
    </w:p>
    <w:p w:rsidR="003E1F05" w:rsidRDefault="003E1F05" w:rsidP="003E1F05">
      <w:pPr>
        <w:rPr>
          <w:rFonts w:hint="cs"/>
          <w:u w:val="single"/>
          <w:rtl/>
        </w:rPr>
      </w:pPr>
    </w:p>
    <w:p w:rsidR="003E1F05" w:rsidRDefault="003E1F05" w:rsidP="003E1F05">
      <w:pPr>
        <w:rPr>
          <w:rFonts w:hint="cs"/>
          <w:b/>
          <w:bCs/>
          <w:u w:val="single"/>
          <w:rtl/>
        </w:rPr>
      </w:pPr>
      <w:r>
        <w:rPr>
          <w:rFonts w:hint="cs"/>
          <w:b/>
          <w:bCs/>
          <w:u w:val="single"/>
          <w:rtl/>
        </w:rPr>
        <w:t>בדירוג המנהלי:</w:t>
      </w:r>
    </w:p>
    <w:p w:rsidR="003E1F05" w:rsidRDefault="003E1F05" w:rsidP="003E1F05">
      <w:pPr>
        <w:rPr>
          <w:u w:val="single"/>
          <w:rtl/>
        </w:rPr>
      </w:pPr>
    </w:p>
    <w:tbl>
      <w:tblPr>
        <w:tblStyle w:val="aa"/>
        <w:bidiVisual/>
        <w:tblW w:w="0" w:type="auto"/>
        <w:tblInd w:w="-226" w:type="dxa"/>
        <w:tblLook w:val="01E0"/>
      </w:tblPr>
      <w:tblGrid>
        <w:gridCol w:w="1646"/>
        <w:gridCol w:w="1420"/>
        <w:gridCol w:w="1420"/>
        <w:gridCol w:w="1420"/>
        <w:gridCol w:w="1421"/>
        <w:gridCol w:w="1421"/>
      </w:tblGrid>
      <w:tr w:rsidR="003E1F05" w:rsidRPr="00EE746E">
        <w:tc>
          <w:tcPr>
            <w:tcW w:w="1646" w:type="dxa"/>
          </w:tcPr>
          <w:p w:rsidR="003E1F05" w:rsidRPr="00EE746E" w:rsidRDefault="003E1F05" w:rsidP="00C014C7">
            <w:pPr>
              <w:jc w:val="center"/>
              <w:rPr>
                <w:rFonts w:hint="cs"/>
                <w:rtl/>
              </w:rPr>
            </w:pPr>
          </w:p>
        </w:tc>
        <w:tc>
          <w:tcPr>
            <w:tcW w:w="1420" w:type="dxa"/>
          </w:tcPr>
          <w:p w:rsidR="003E1F05" w:rsidRPr="00D311B0" w:rsidRDefault="003E1F05" w:rsidP="00C014C7">
            <w:pPr>
              <w:jc w:val="center"/>
              <w:rPr>
                <w:rFonts w:hint="cs"/>
                <w:b/>
                <w:bCs/>
                <w:rtl/>
              </w:rPr>
            </w:pPr>
            <w:r w:rsidRPr="00D311B0">
              <w:rPr>
                <w:rFonts w:hint="cs"/>
                <w:b/>
                <w:bCs/>
                <w:rtl/>
              </w:rPr>
              <w:t>מס' משרות</w:t>
            </w:r>
          </w:p>
        </w:tc>
        <w:tc>
          <w:tcPr>
            <w:tcW w:w="1420" w:type="dxa"/>
          </w:tcPr>
          <w:p w:rsidR="003E1F05" w:rsidRPr="00D311B0" w:rsidRDefault="003E1F05" w:rsidP="00C014C7">
            <w:pPr>
              <w:jc w:val="center"/>
              <w:rPr>
                <w:rFonts w:hint="cs"/>
                <w:b/>
                <w:bCs/>
                <w:rtl/>
              </w:rPr>
            </w:pPr>
            <w:r w:rsidRPr="00D311B0">
              <w:rPr>
                <w:rFonts w:hint="cs"/>
                <w:b/>
                <w:bCs/>
                <w:rtl/>
              </w:rPr>
              <w:t>שכר פנסיוני ממוצע</w:t>
            </w:r>
          </w:p>
        </w:tc>
        <w:tc>
          <w:tcPr>
            <w:tcW w:w="1420" w:type="dxa"/>
          </w:tcPr>
          <w:p w:rsidR="003E1F05" w:rsidRPr="00D311B0" w:rsidRDefault="003E1F05" w:rsidP="00C014C7">
            <w:pPr>
              <w:jc w:val="center"/>
              <w:rPr>
                <w:rFonts w:hint="cs"/>
                <w:b/>
                <w:bCs/>
                <w:rtl/>
              </w:rPr>
            </w:pPr>
            <w:r w:rsidRPr="00D311B0">
              <w:rPr>
                <w:rFonts w:hint="cs"/>
                <w:b/>
                <w:bCs/>
                <w:rtl/>
              </w:rPr>
              <w:t>ממוצע עבודה נוספת</w:t>
            </w:r>
          </w:p>
        </w:tc>
        <w:tc>
          <w:tcPr>
            <w:tcW w:w="1421" w:type="dxa"/>
          </w:tcPr>
          <w:p w:rsidR="003E1F05" w:rsidRPr="00D311B0" w:rsidRDefault="003E1F05" w:rsidP="00C014C7">
            <w:pPr>
              <w:jc w:val="center"/>
              <w:rPr>
                <w:rFonts w:hint="cs"/>
                <w:b/>
                <w:bCs/>
                <w:rtl/>
              </w:rPr>
            </w:pPr>
            <w:r w:rsidRPr="00D311B0">
              <w:rPr>
                <w:rFonts w:hint="cs"/>
                <w:b/>
                <w:bCs/>
                <w:rtl/>
              </w:rPr>
              <w:t>ממוצע החזר הוצאות</w:t>
            </w:r>
          </w:p>
        </w:tc>
        <w:tc>
          <w:tcPr>
            <w:tcW w:w="1421" w:type="dxa"/>
          </w:tcPr>
          <w:p w:rsidR="003E1F05" w:rsidRPr="00D311B0" w:rsidRDefault="003E1F05" w:rsidP="00C014C7">
            <w:pPr>
              <w:jc w:val="center"/>
              <w:rPr>
                <w:rFonts w:hint="cs"/>
                <w:b/>
                <w:bCs/>
                <w:rtl/>
              </w:rPr>
            </w:pPr>
            <w:r w:rsidRPr="00D311B0">
              <w:rPr>
                <w:rFonts w:hint="cs"/>
                <w:b/>
                <w:bCs/>
                <w:rtl/>
              </w:rPr>
              <w:t>ממוצע שכר ברוטו</w:t>
            </w:r>
          </w:p>
        </w:tc>
      </w:tr>
      <w:tr w:rsidR="003E1F05" w:rsidRPr="00EE746E">
        <w:tc>
          <w:tcPr>
            <w:tcW w:w="1646" w:type="dxa"/>
          </w:tcPr>
          <w:p w:rsidR="003E1F05" w:rsidRPr="00EE746E" w:rsidRDefault="003E1F05" w:rsidP="00C014C7">
            <w:pPr>
              <w:jc w:val="center"/>
              <w:rPr>
                <w:rFonts w:hint="cs"/>
                <w:rtl/>
              </w:rPr>
            </w:pPr>
            <w:r>
              <w:rPr>
                <w:rFonts w:hint="cs"/>
                <w:rtl/>
              </w:rPr>
              <w:t>נשים</w:t>
            </w:r>
          </w:p>
        </w:tc>
        <w:tc>
          <w:tcPr>
            <w:tcW w:w="1420" w:type="dxa"/>
          </w:tcPr>
          <w:p w:rsidR="003E1F05" w:rsidRPr="00EE746E" w:rsidRDefault="003E1F05" w:rsidP="00C014C7">
            <w:pPr>
              <w:jc w:val="center"/>
              <w:rPr>
                <w:rFonts w:hint="cs"/>
                <w:rtl/>
              </w:rPr>
            </w:pPr>
            <w:r>
              <w:rPr>
                <w:rFonts w:hint="cs"/>
                <w:rtl/>
              </w:rPr>
              <w:t>13,848.2</w:t>
            </w:r>
          </w:p>
        </w:tc>
        <w:tc>
          <w:tcPr>
            <w:tcW w:w="1420" w:type="dxa"/>
          </w:tcPr>
          <w:p w:rsidR="003E1F05" w:rsidRPr="00EE746E" w:rsidRDefault="003E1F05" w:rsidP="00C014C7">
            <w:pPr>
              <w:jc w:val="center"/>
              <w:rPr>
                <w:rFonts w:hint="cs"/>
                <w:rtl/>
              </w:rPr>
            </w:pPr>
            <w:r>
              <w:rPr>
                <w:rFonts w:hint="cs"/>
                <w:rtl/>
              </w:rPr>
              <w:t>4,579.2</w:t>
            </w:r>
          </w:p>
        </w:tc>
        <w:tc>
          <w:tcPr>
            <w:tcW w:w="1420" w:type="dxa"/>
          </w:tcPr>
          <w:p w:rsidR="003E1F05" w:rsidRPr="00EE746E" w:rsidRDefault="003E1F05" w:rsidP="00C014C7">
            <w:pPr>
              <w:jc w:val="center"/>
              <w:rPr>
                <w:rFonts w:hint="cs"/>
                <w:rtl/>
              </w:rPr>
            </w:pPr>
            <w:r>
              <w:rPr>
                <w:rFonts w:hint="cs"/>
                <w:rtl/>
              </w:rPr>
              <w:t>498.8</w:t>
            </w:r>
          </w:p>
        </w:tc>
        <w:tc>
          <w:tcPr>
            <w:tcW w:w="1421" w:type="dxa"/>
          </w:tcPr>
          <w:p w:rsidR="003E1F05" w:rsidRPr="00EE746E" w:rsidRDefault="003E1F05" w:rsidP="00C014C7">
            <w:pPr>
              <w:jc w:val="center"/>
              <w:rPr>
                <w:rFonts w:hint="cs"/>
                <w:rtl/>
              </w:rPr>
            </w:pPr>
            <w:r>
              <w:rPr>
                <w:rFonts w:hint="cs"/>
                <w:rtl/>
              </w:rPr>
              <w:t>761.2</w:t>
            </w:r>
          </w:p>
        </w:tc>
        <w:tc>
          <w:tcPr>
            <w:tcW w:w="1421" w:type="dxa"/>
          </w:tcPr>
          <w:p w:rsidR="003E1F05" w:rsidRPr="00EE746E" w:rsidRDefault="003E1F05" w:rsidP="00C014C7">
            <w:pPr>
              <w:jc w:val="center"/>
              <w:rPr>
                <w:rFonts w:hint="cs"/>
                <w:rtl/>
              </w:rPr>
            </w:pPr>
            <w:r>
              <w:rPr>
                <w:rFonts w:hint="cs"/>
                <w:rtl/>
              </w:rPr>
              <w:t>6,963.3</w:t>
            </w:r>
          </w:p>
        </w:tc>
      </w:tr>
      <w:tr w:rsidR="003E1F05" w:rsidRPr="00EE746E">
        <w:tc>
          <w:tcPr>
            <w:tcW w:w="1646" w:type="dxa"/>
          </w:tcPr>
          <w:p w:rsidR="003E1F05" w:rsidRPr="00EE746E" w:rsidRDefault="003E1F05" w:rsidP="00C014C7">
            <w:pPr>
              <w:jc w:val="center"/>
              <w:rPr>
                <w:rFonts w:hint="cs"/>
                <w:rtl/>
              </w:rPr>
            </w:pPr>
            <w:r>
              <w:rPr>
                <w:rFonts w:hint="cs"/>
                <w:rtl/>
              </w:rPr>
              <w:t>גברים</w:t>
            </w:r>
          </w:p>
        </w:tc>
        <w:tc>
          <w:tcPr>
            <w:tcW w:w="1420" w:type="dxa"/>
          </w:tcPr>
          <w:p w:rsidR="003E1F05" w:rsidRPr="00EE746E" w:rsidRDefault="003E1F05" w:rsidP="00C014C7">
            <w:pPr>
              <w:jc w:val="center"/>
              <w:rPr>
                <w:rFonts w:hint="cs"/>
                <w:rtl/>
              </w:rPr>
            </w:pPr>
            <w:r>
              <w:rPr>
                <w:rFonts w:hint="cs"/>
                <w:rtl/>
              </w:rPr>
              <w:t>6,642.3</w:t>
            </w:r>
          </w:p>
        </w:tc>
        <w:tc>
          <w:tcPr>
            <w:tcW w:w="1420" w:type="dxa"/>
          </w:tcPr>
          <w:p w:rsidR="003E1F05" w:rsidRPr="00EE746E" w:rsidRDefault="003E1F05" w:rsidP="00C014C7">
            <w:pPr>
              <w:jc w:val="center"/>
              <w:rPr>
                <w:rFonts w:hint="cs"/>
                <w:rtl/>
              </w:rPr>
            </w:pPr>
            <w:r>
              <w:rPr>
                <w:rFonts w:hint="cs"/>
                <w:rtl/>
              </w:rPr>
              <w:t>4,950.8</w:t>
            </w:r>
          </w:p>
        </w:tc>
        <w:tc>
          <w:tcPr>
            <w:tcW w:w="1420" w:type="dxa"/>
          </w:tcPr>
          <w:p w:rsidR="003E1F05" w:rsidRPr="00EE746E" w:rsidRDefault="003E1F05" w:rsidP="00C014C7">
            <w:pPr>
              <w:jc w:val="center"/>
              <w:rPr>
                <w:rFonts w:hint="cs"/>
                <w:rtl/>
              </w:rPr>
            </w:pPr>
            <w:r>
              <w:rPr>
                <w:rFonts w:hint="cs"/>
                <w:rtl/>
              </w:rPr>
              <w:t>1010.7</w:t>
            </w:r>
          </w:p>
        </w:tc>
        <w:tc>
          <w:tcPr>
            <w:tcW w:w="1421" w:type="dxa"/>
          </w:tcPr>
          <w:p w:rsidR="003E1F05" w:rsidRPr="00EE746E" w:rsidRDefault="003E1F05" w:rsidP="00C014C7">
            <w:pPr>
              <w:jc w:val="center"/>
              <w:rPr>
                <w:rFonts w:hint="cs"/>
                <w:rtl/>
              </w:rPr>
            </w:pPr>
            <w:r>
              <w:rPr>
                <w:rFonts w:hint="cs"/>
                <w:rtl/>
              </w:rPr>
              <w:t>898.2</w:t>
            </w:r>
          </w:p>
        </w:tc>
        <w:tc>
          <w:tcPr>
            <w:tcW w:w="1421" w:type="dxa"/>
          </w:tcPr>
          <w:p w:rsidR="003E1F05" w:rsidRPr="00EE746E" w:rsidRDefault="003E1F05" w:rsidP="00C014C7">
            <w:pPr>
              <w:jc w:val="center"/>
              <w:rPr>
                <w:rFonts w:hint="cs"/>
                <w:rtl/>
              </w:rPr>
            </w:pPr>
            <w:r>
              <w:rPr>
                <w:rFonts w:hint="cs"/>
                <w:rtl/>
              </w:rPr>
              <w:t>8,484.7</w:t>
            </w:r>
          </w:p>
        </w:tc>
      </w:tr>
      <w:tr w:rsidR="003E1F05" w:rsidRPr="00EE746E">
        <w:tc>
          <w:tcPr>
            <w:tcW w:w="1646" w:type="dxa"/>
          </w:tcPr>
          <w:p w:rsidR="003E1F05" w:rsidRPr="00D311B0" w:rsidRDefault="003E1F05" w:rsidP="00C014C7">
            <w:pPr>
              <w:jc w:val="center"/>
              <w:rPr>
                <w:b/>
                <w:bCs/>
                <w:rtl/>
              </w:rPr>
            </w:pPr>
            <w:r>
              <w:rPr>
                <w:rFonts w:hint="cs"/>
                <w:b/>
                <w:bCs/>
                <w:rtl/>
              </w:rPr>
              <w:t>יחס גברים/נשים-</w:t>
            </w:r>
            <w:r>
              <w:rPr>
                <w:b/>
                <w:bCs/>
              </w:rPr>
              <w:t xml:space="preserve">D </w:t>
            </w:r>
          </w:p>
        </w:tc>
        <w:tc>
          <w:tcPr>
            <w:tcW w:w="1420" w:type="dxa"/>
            <w:vAlign w:val="bottom"/>
          </w:tcPr>
          <w:p w:rsidR="003E1F05" w:rsidRPr="00D311B0" w:rsidRDefault="003E1F05" w:rsidP="00C014C7">
            <w:pPr>
              <w:jc w:val="center"/>
              <w:rPr>
                <w:rFonts w:hint="cs"/>
                <w:b/>
                <w:bCs/>
                <w:rtl/>
              </w:rPr>
            </w:pPr>
            <w:r>
              <w:rPr>
                <w:rFonts w:hint="cs"/>
                <w:b/>
                <w:bCs/>
                <w:rtl/>
              </w:rPr>
              <w:t>48.0%</w:t>
            </w:r>
          </w:p>
        </w:tc>
        <w:tc>
          <w:tcPr>
            <w:tcW w:w="1420" w:type="dxa"/>
            <w:vAlign w:val="bottom"/>
          </w:tcPr>
          <w:p w:rsidR="003E1F05" w:rsidRPr="00D311B0" w:rsidRDefault="003E1F05" w:rsidP="00C014C7">
            <w:pPr>
              <w:jc w:val="center"/>
              <w:rPr>
                <w:rFonts w:hint="cs"/>
                <w:b/>
                <w:bCs/>
                <w:rtl/>
              </w:rPr>
            </w:pPr>
            <w:r>
              <w:rPr>
                <w:rFonts w:hint="cs"/>
                <w:b/>
                <w:bCs/>
                <w:rtl/>
              </w:rPr>
              <w:t>108.1%</w:t>
            </w:r>
          </w:p>
        </w:tc>
        <w:tc>
          <w:tcPr>
            <w:tcW w:w="1420" w:type="dxa"/>
            <w:vAlign w:val="bottom"/>
          </w:tcPr>
          <w:p w:rsidR="003E1F05" w:rsidRPr="00D311B0" w:rsidRDefault="003E1F05" w:rsidP="00C014C7">
            <w:pPr>
              <w:jc w:val="center"/>
              <w:rPr>
                <w:rFonts w:hint="cs"/>
                <w:b/>
                <w:bCs/>
                <w:rtl/>
              </w:rPr>
            </w:pPr>
            <w:r>
              <w:rPr>
                <w:rFonts w:hint="cs"/>
                <w:b/>
                <w:bCs/>
                <w:rtl/>
              </w:rPr>
              <w:t>202.6%</w:t>
            </w:r>
          </w:p>
        </w:tc>
        <w:tc>
          <w:tcPr>
            <w:tcW w:w="1421" w:type="dxa"/>
            <w:vAlign w:val="bottom"/>
          </w:tcPr>
          <w:p w:rsidR="003E1F05" w:rsidRPr="00D311B0" w:rsidRDefault="003E1F05" w:rsidP="00C014C7">
            <w:pPr>
              <w:jc w:val="center"/>
              <w:rPr>
                <w:rFonts w:hint="cs"/>
                <w:b/>
                <w:bCs/>
                <w:rtl/>
              </w:rPr>
            </w:pPr>
            <w:r>
              <w:rPr>
                <w:rFonts w:hint="cs"/>
                <w:b/>
                <w:bCs/>
                <w:rtl/>
              </w:rPr>
              <w:t>118.0%</w:t>
            </w:r>
          </w:p>
        </w:tc>
        <w:tc>
          <w:tcPr>
            <w:tcW w:w="1421" w:type="dxa"/>
            <w:vAlign w:val="bottom"/>
          </w:tcPr>
          <w:p w:rsidR="003E1F05" w:rsidRPr="00D311B0" w:rsidRDefault="003E1F05" w:rsidP="00C014C7">
            <w:pPr>
              <w:jc w:val="center"/>
              <w:rPr>
                <w:rFonts w:hint="cs"/>
                <w:b/>
                <w:bCs/>
                <w:rtl/>
              </w:rPr>
            </w:pPr>
            <w:r>
              <w:rPr>
                <w:rFonts w:hint="cs"/>
                <w:b/>
                <w:bCs/>
                <w:rtl/>
              </w:rPr>
              <w:t>121.8%</w:t>
            </w:r>
          </w:p>
        </w:tc>
      </w:tr>
    </w:tbl>
    <w:p w:rsidR="003E1F05" w:rsidRDefault="003E1F05" w:rsidP="003E1F05">
      <w:pPr>
        <w:rPr>
          <w:rFonts w:hint="cs"/>
          <w:b/>
          <w:bCs/>
          <w:u w:val="single"/>
          <w:rtl/>
        </w:rPr>
      </w:pPr>
    </w:p>
    <w:p w:rsidR="003E1F05" w:rsidRDefault="003E1F05" w:rsidP="003E1F05">
      <w:pPr>
        <w:rPr>
          <w:rFonts w:hint="cs"/>
          <w:b/>
          <w:bCs/>
          <w:u w:val="single"/>
          <w:rtl/>
        </w:rPr>
      </w:pPr>
    </w:p>
    <w:p w:rsidR="003E1F05" w:rsidRDefault="003E1F05" w:rsidP="003E1F05">
      <w:pPr>
        <w:rPr>
          <w:rFonts w:hint="cs"/>
          <w:b/>
          <w:bCs/>
          <w:u w:val="single"/>
          <w:rtl/>
        </w:rPr>
      </w:pPr>
      <w:r>
        <w:rPr>
          <w:rFonts w:hint="cs"/>
          <w:b/>
          <w:bCs/>
          <w:u w:val="single"/>
          <w:rtl/>
        </w:rPr>
        <w:t>בדירוג המח"ר:</w:t>
      </w:r>
    </w:p>
    <w:p w:rsidR="003E1F05" w:rsidRDefault="003E1F05" w:rsidP="003E1F05">
      <w:pPr>
        <w:rPr>
          <w:u w:val="single"/>
          <w:rtl/>
        </w:rPr>
      </w:pPr>
    </w:p>
    <w:tbl>
      <w:tblPr>
        <w:tblStyle w:val="aa"/>
        <w:bidiVisual/>
        <w:tblW w:w="0" w:type="auto"/>
        <w:tblInd w:w="-226" w:type="dxa"/>
        <w:tblLook w:val="01E0"/>
      </w:tblPr>
      <w:tblGrid>
        <w:gridCol w:w="1646"/>
        <w:gridCol w:w="1420"/>
        <w:gridCol w:w="1420"/>
        <w:gridCol w:w="1420"/>
        <w:gridCol w:w="1421"/>
        <w:gridCol w:w="1421"/>
      </w:tblGrid>
      <w:tr w:rsidR="003E1F05" w:rsidRPr="00EE746E">
        <w:tc>
          <w:tcPr>
            <w:tcW w:w="1646" w:type="dxa"/>
          </w:tcPr>
          <w:p w:rsidR="003E1F05" w:rsidRPr="00EE746E" w:rsidRDefault="003E1F05" w:rsidP="00C014C7">
            <w:pPr>
              <w:jc w:val="center"/>
              <w:rPr>
                <w:rFonts w:hint="cs"/>
                <w:rtl/>
              </w:rPr>
            </w:pPr>
          </w:p>
        </w:tc>
        <w:tc>
          <w:tcPr>
            <w:tcW w:w="1420" w:type="dxa"/>
          </w:tcPr>
          <w:p w:rsidR="003E1F05" w:rsidRPr="00D311B0" w:rsidRDefault="003E1F05" w:rsidP="00C014C7">
            <w:pPr>
              <w:jc w:val="center"/>
              <w:rPr>
                <w:rFonts w:hint="cs"/>
                <w:b/>
                <w:bCs/>
                <w:rtl/>
              </w:rPr>
            </w:pPr>
            <w:r w:rsidRPr="00D311B0">
              <w:rPr>
                <w:rFonts w:hint="cs"/>
                <w:b/>
                <w:bCs/>
                <w:rtl/>
              </w:rPr>
              <w:t>מס' משרות</w:t>
            </w:r>
          </w:p>
        </w:tc>
        <w:tc>
          <w:tcPr>
            <w:tcW w:w="1420" w:type="dxa"/>
          </w:tcPr>
          <w:p w:rsidR="003E1F05" w:rsidRPr="00D311B0" w:rsidRDefault="003E1F05" w:rsidP="00C014C7">
            <w:pPr>
              <w:jc w:val="center"/>
              <w:rPr>
                <w:rFonts w:hint="cs"/>
                <w:b/>
                <w:bCs/>
                <w:rtl/>
              </w:rPr>
            </w:pPr>
            <w:r w:rsidRPr="00D311B0">
              <w:rPr>
                <w:rFonts w:hint="cs"/>
                <w:b/>
                <w:bCs/>
                <w:rtl/>
              </w:rPr>
              <w:t>שכר פנסיוני ממוצע</w:t>
            </w:r>
          </w:p>
        </w:tc>
        <w:tc>
          <w:tcPr>
            <w:tcW w:w="1420" w:type="dxa"/>
          </w:tcPr>
          <w:p w:rsidR="003E1F05" w:rsidRPr="00D311B0" w:rsidRDefault="003E1F05" w:rsidP="00C014C7">
            <w:pPr>
              <w:jc w:val="center"/>
              <w:rPr>
                <w:rFonts w:hint="cs"/>
                <w:b/>
                <w:bCs/>
                <w:rtl/>
              </w:rPr>
            </w:pPr>
            <w:r w:rsidRPr="00D311B0">
              <w:rPr>
                <w:rFonts w:hint="cs"/>
                <w:b/>
                <w:bCs/>
                <w:rtl/>
              </w:rPr>
              <w:t>ממוצע עבודה נוספת</w:t>
            </w:r>
          </w:p>
        </w:tc>
        <w:tc>
          <w:tcPr>
            <w:tcW w:w="1421" w:type="dxa"/>
          </w:tcPr>
          <w:p w:rsidR="003E1F05" w:rsidRPr="00D311B0" w:rsidRDefault="003E1F05" w:rsidP="00C014C7">
            <w:pPr>
              <w:jc w:val="center"/>
              <w:rPr>
                <w:rFonts w:hint="cs"/>
                <w:b/>
                <w:bCs/>
                <w:rtl/>
              </w:rPr>
            </w:pPr>
            <w:r w:rsidRPr="00D311B0">
              <w:rPr>
                <w:rFonts w:hint="cs"/>
                <w:b/>
                <w:bCs/>
                <w:rtl/>
              </w:rPr>
              <w:t>ממוצע החזר הוצאות</w:t>
            </w:r>
          </w:p>
        </w:tc>
        <w:tc>
          <w:tcPr>
            <w:tcW w:w="1421" w:type="dxa"/>
          </w:tcPr>
          <w:p w:rsidR="003E1F05" w:rsidRPr="00D311B0" w:rsidRDefault="003E1F05" w:rsidP="00C014C7">
            <w:pPr>
              <w:jc w:val="center"/>
              <w:rPr>
                <w:rFonts w:hint="cs"/>
                <w:b/>
                <w:bCs/>
                <w:rtl/>
              </w:rPr>
            </w:pPr>
            <w:r w:rsidRPr="00D311B0">
              <w:rPr>
                <w:rFonts w:hint="cs"/>
                <w:b/>
                <w:bCs/>
                <w:rtl/>
              </w:rPr>
              <w:t>ממוצע שכר ברוטו</w:t>
            </w:r>
          </w:p>
        </w:tc>
      </w:tr>
      <w:tr w:rsidR="003E1F05" w:rsidRPr="00EE746E">
        <w:tc>
          <w:tcPr>
            <w:tcW w:w="1646" w:type="dxa"/>
          </w:tcPr>
          <w:p w:rsidR="003E1F05" w:rsidRPr="00EE746E" w:rsidRDefault="003E1F05" w:rsidP="00C014C7">
            <w:pPr>
              <w:jc w:val="center"/>
              <w:rPr>
                <w:rFonts w:hint="cs"/>
                <w:rtl/>
              </w:rPr>
            </w:pPr>
            <w:r>
              <w:rPr>
                <w:rFonts w:hint="cs"/>
                <w:rtl/>
              </w:rPr>
              <w:t>נשים</w:t>
            </w:r>
          </w:p>
        </w:tc>
        <w:tc>
          <w:tcPr>
            <w:tcW w:w="1420" w:type="dxa"/>
          </w:tcPr>
          <w:p w:rsidR="003E1F05" w:rsidRPr="00EE746E" w:rsidRDefault="003E1F05" w:rsidP="00C014C7">
            <w:pPr>
              <w:jc w:val="center"/>
              <w:rPr>
                <w:rFonts w:hint="cs"/>
                <w:rtl/>
              </w:rPr>
            </w:pPr>
            <w:r>
              <w:rPr>
                <w:rFonts w:hint="cs"/>
                <w:rtl/>
              </w:rPr>
              <w:t>2,761.1</w:t>
            </w:r>
          </w:p>
        </w:tc>
        <w:tc>
          <w:tcPr>
            <w:tcW w:w="1420" w:type="dxa"/>
          </w:tcPr>
          <w:p w:rsidR="003E1F05" w:rsidRPr="00EE746E" w:rsidRDefault="003E1F05" w:rsidP="00C014C7">
            <w:pPr>
              <w:jc w:val="center"/>
              <w:rPr>
                <w:rFonts w:hint="cs"/>
                <w:rtl/>
              </w:rPr>
            </w:pPr>
            <w:r>
              <w:rPr>
                <w:rFonts w:hint="cs"/>
                <w:rtl/>
              </w:rPr>
              <w:t>5,843.3</w:t>
            </w:r>
          </w:p>
        </w:tc>
        <w:tc>
          <w:tcPr>
            <w:tcW w:w="1420" w:type="dxa"/>
          </w:tcPr>
          <w:p w:rsidR="003E1F05" w:rsidRPr="00EE746E" w:rsidRDefault="003E1F05" w:rsidP="00C014C7">
            <w:pPr>
              <w:jc w:val="center"/>
              <w:rPr>
                <w:rFonts w:hint="cs"/>
                <w:rtl/>
              </w:rPr>
            </w:pPr>
            <w:r>
              <w:rPr>
                <w:rFonts w:hint="cs"/>
                <w:rtl/>
              </w:rPr>
              <w:t>633.9</w:t>
            </w:r>
          </w:p>
        </w:tc>
        <w:tc>
          <w:tcPr>
            <w:tcW w:w="1421" w:type="dxa"/>
          </w:tcPr>
          <w:p w:rsidR="003E1F05" w:rsidRPr="00EE746E" w:rsidRDefault="003E1F05" w:rsidP="00C014C7">
            <w:pPr>
              <w:jc w:val="center"/>
              <w:rPr>
                <w:rFonts w:hint="cs"/>
                <w:rtl/>
              </w:rPr>
            </w:pPr>
            <w:r>
              <w:rPr>
                <w:rFonts w:hint="cs"/>
                <w:rtl/>
              </w:rPr>
              <w:t>1,211.7</w:t>
            </w:r>
          </w:p>
        </w:tc>
        <w:tc>
          <w:tcPr>
            <w:tcW w:w="1421" w:type="dxa"/>
          </w:tcPr>
          <w:p w:rsidR="003E1F05" w:rsidRPr="00EE746E" w:rsidRDefault="003E1F05" w:rsidP="00C014C7">
            <w:pPr>
              <w:jc w:val="center"/>
              <w:rPr>
                <w:rFonts w:hint="cs"/>
                <w:rtl/>
              </w:rPr>
            </w:pPr>
            <w:r>
              <w:rPr>
                <w:rFonts w:hint="cs"/>
                <w:rtl/>
              </w:rPr>
              <w:t>9,169.5</w:t>
            </w:r>
          </w:p>
        </w:tc>
      </w:tr>
      <w:tr w:rsidR="003E1F05" w:rsidRPr="00EE746E">
        <w:tc>
          <w:tcPr>
            <w:tcW w:w="1646" w:type="dxa"/>
          </w:tcPr>
          <w:p w:rsidR="003E1F05" w:rsidRPr="00EE746E" w:rsidRDefault="003E1F05" w:rsidP="00C014C7">
            <w:pPr>
              <w:jc w:val="center"/>
              <w:rPr>
                <w:rFonts w:hint="cs"/>
                <w:rtl/>
              </w:rPr>
            </w:pPr>
            <w:r>
              <w:rPr>
                <w:rFonts w:hint="cs"/>
                <w:rtl/>
              </w:rPr>
              <w:t>גברים</w:t>
            </w:r>
          </w:p>
        </w:tc>
        <w:tc>
          <w:tcPr>
            <w:tcW w:w="1420" w:type="dxa"/>
          </w:tcPr>
          <w:p w:rsidR="003E1F05" w:rsidRPr="00EE746E" w:rsidRDefault="003E1F05" w:rsidP="00C014C7">
            <w:pPr>
              <w:jc w:val="center"/>
              <w:rPr>
                <w:rFonts w:hint="cs"/>
                <w:rtl/>
              </w:rPr>
            </w:pPr>
            <w:r>
              <w:rPr>
                <w:rFonts w:hint="cs"/>
                <w:rtl/>
              </w:rPr>
              <w:t>2,121.3</w:t>
            </w:r>
          </w:p>
        </w:tc>
        <w:tc>
          <w:tcPr>
            <w:tcW w:w="1420" w:type="dxa"/>
          </w:tcPr>
          <w:p w:rsidR="003E1F05" w:rsidRPr="00EE746E" w:rsidRDefault="003E1F05" w:rsidP="00C014C7">
            <w:pPr>
              <w:jc w:val="center"/>
              <w:rPr>
                <w:rFonts w:hint="cs"/>
                <w:rtl/>
              </w:rPr>
            </w:pPr>
            <w:r>
              <w:rPr>
                <w:rFonts w:hint="cs"/>
                <w:rtl/>
              </w:rPr>
              <w:t>6,915.0</w:t>
            </w:r>
          </w:p>
        </w:tc>
        <w:tc>
          <w:tcPr>
            <w:tcW w:w="1420" w:type="dxa"/>
          </w:tcPr>
          <w:p w:rsidR="003E1F05" w:rsidRPr="00EE746E" w:rsidRDefault="003E1F05" w:rsidP="00C014C7">
            <w:pPr>
              <w:jc w:val="center"/>
              <w:rPr>
                <w:rFonts w:hint="cs"/>
                <w:rtl/>
              </w:rPr>
            </w:pPr>
            <w:r>
              <w:rPr>
                <w:rFonts w:hint="cs"/>
                <w:rtl/>
              </w:rPr>
              <w:t>1,213.4</w:t>
            </w:r>
          </w:p>
        </w:tc>
        <w:tc>
          <w:tcPr>
            <w:tcW w:w="1421" w:type="dxa"/>
          </w:tcPr>
          <w:p w:rsidR="003E1F05" w:rsidRPr="00EE746E" w:rsidRDefault="003E1F05" w:rsidP="00C014C7">
            <w:pPr>
              <w:jc w:val="center"/>
              <w:rPr>
                <w:rFonts w:hint="cs"/>
                <w:rtl/>
              </w:rPr>
            </w:pPr>
            <w:r>
              <w:rPr>
                <w:rFonts w:hint="cs"/>
                <w:rtl/>
              </w:rPr>
              <w:t>1,519.0</w:t>
            </w:r>
          </w:p>
        </w:tc>
        <w:tc>
          <w:tcPr>
            <w:tcW w:w="1421" w:type="dxa"/>
          </w:tcPr>
          <w:p w:rsidR="003E1F05" w:rsidRPr="00EE746E" w:rsidRDefault="003E1F05" w:rsidP="00C014C7">
            <w:pPr>
              <w:jc w:val="center"/>
              <w:rPr>
                <w:rFonts w:hint="cs"/>
                <w:rtl/>
              </w:rPr>
            </w:pPr>
            <w:r>
              <w:rPr>
                <w:rFonts w:hint="cs"/>
                <w:rtl/>
              </w:rPr>
              <w:t>11,853.1</w:t>
            </w:r>
          </w:p>
        </w:tc>
      </w:tr>
      <w:tr w:rsidR="003E1F05" w:rsidRPr="00EE746E">
        <w:tc>
          <w:tcPr>
            <w:tcW w:w="1646" w:type="dxa"/>
          </w:tcPr>
          <w:p w:rsidR="003E1F05" w:rsidRPr="00D311B0" w:rsidRDefault="003E1F05" w:rsidP="00C014C7">
            <w:pPr>
              <w:jc w:val="center"/>
              <w:rPr>
                <w:b/>
                <w:bCs/>
                <w:rtl/>
              </w:rPr>
            </w:pPr>
            <w:r>
              <w:rPr>
                <w:rFonts w:hint="cs"/>
                <w:b/>
                <w:bCs/>
                <w:rtl/>
              </w:rPr>
              <w:t>יחס גברים/נשים-</w:t>
            </w:r>
            <w:r>
              <w:rPr>
                <w:rFonts w:hint="cs"/>
                <w:b/>
                <w:bCs/>
              </w:rPr>
              <w:t>G</w:t>
            </w:r>
            <w:r>
              <w:rPr>
                <w:b/>
                <w:bCs/>
              </w:rPr>
              <w:t xml:space="preserve"> </w:t>
            </w:r>
          </w:p>
        </w:tc>
        <w:tc>
          <w:tcPr>
            <w:tcW w:w="1420" w:type="dxa"/>
            <w:vAlign w:val="bottom"/>
          </w:tcPr>
          <w:p w:rsidR="003E1F05" w:rsidRPr="00D311B0" w:rsidRDefault="003E1F05" w:rsidP="00C014C7">
            <w:pPr>
              <w:jc w:val="center"/>
              <w:rPr>
                <w:rFonts w:hint="cs"/>
                <w:b/>
                <w:bCs/>
                <w:rtl/>
              </w:rPr>
            </w:pPr>
            <w:r>
              <w:rPr>
                <w:rFonts w:hint="cs"/>
                <w:b/>
                <w:bCs/>
                <w:rtl/>
              </w:rPr>
              <w:t>76.8%</w:t>
            </w:r>
          </w:p>
        </w:tc>
        <w:tc>
          <w:tcPr>
            <w:tcW w:w="1420" w:type="dxa"/>
            <w:vAlign w:val="bottom"/>
          </w:tcPr>
          <w:p w:rsidR="003E1F05" w:rsidRPr="00D311B0" w:rsidRDefault="003E1F05" w:rsidP="00C014C7">
            <w:pPr>
              <w:jc w:val="center"/>
              <w:rPr>
                <w:rFonts w:hint="cs"/>
                <w:b/>
                <w:bCs/>
                <w:rtl/>
              </w:rPr>
            </w:pPr>
            <w:r>
              <w:rPr>
                <w:rFonts w:hint="cs"/>
                <w:b/>
                <w:bCs/>
                <w:rtl/>
              </w:rPr>
              <w:t>118.3%</w:t>
            </w:r>
          </w:p>
        </w:tc>
        <w:tc>
          <w:tcPr>
            <w:tcW w:w="1420" w:type="dxa"/>
            <w:vAlign w:val="bottom"/>
          </w:tcPr>
          <w:p w:rsidR="003E1F05" w:rsidRPr="00D311B0" w:rsidRDefault="003E1F05" w:rsidP="00C014C7">
            <w:pPr>
              <w:jc w:val="center"/>
              <w:rPr>
                <w:rFonts w:hint="cs"/>
                <w:b/>
                <w:bCs/>
                <w:rtl/>
              </w:rPr>
            </w:pPr>
            <w:r>
              <w:rPr>
                <w:rFonts w:hint="cs"/>
                <w:b/>
                <w:bCs/>
                <w:rtl/>
              </w:rPr>
              <w:t>191.4%</w:t>
            </w:r>
          </w:p>
        </w:tc>
        <w:tc>
          <w:tcPr>
            <w:tcW w:w="1421" w:type="dxa"/>
            <w:vAlign w:val="bottom"/>
          </w:tcPr>
          <w:p w:rsidR="003E1F05" w:rsidRPr="00D311B0" w:rsidRDefault="003E1F05" w:rsidP="00C014C7">
            <w:pPr>
              <w:jc w:val="center"/>
              <w:rPr>
                <w:rFonts w:hint="cs"/>
                <w:b/>
                <w:bCs/>
                <w:rtl/>
              </w:rPr>
            </w:pPr>
            <w:r>
              <w:rPr>
                <w:rFonts w:hint="cs"/>
                <w:b/>
                <w:bCs/>
                <w:rtl/>
              </w:rPr>
              <w:t>125.4%</w:t>
            </w:r>
          </w:p>
        </w:tc>
        <w:tc>
          <w:tcPr>
            <w:tcW w:w="1421" w:type="dxa"/>
            <w:vAlign w:val="bottom"/>
          </w:tcPr>
          <w:p w:rsidR="003E1F05" w:rsidRPr="00D311B0" w:rsidRDefault="003E1F05" w:rsidP="00C014C7">
            <w:pPr>
              <w:jc w:val="center"/>
              <w:rPr>
                <w:rFonts w:hint="cs"/>
                <w:b/>
                <w:bCs/>
                <w:rtl/>
              </w:rPr>
            </w:pPr>
            <w:r>
              <w:rPr>
                <w:rFonts w:hint="cs"/>
                <w:b/>
                <w:bCs/>
                <w:rtl/>
              </w:rPr>
              <w:t>129.3%</w:t>
            </w:r>
          </w:p>
        </w:tc>
      </w:tr>
    </w:tbl>
    <w:p w:rsidR="003E1F05" w:rsidRPr="00EE746E" w:rsidRDefault="003E1F05" w:rsidP="003E1F05">
      <w:pPr>
        <w:rPr>
          <w:rFonts w:hint="cs"/>
          <w:u w:val="single"/>
        </w:rPr>
      </w:pPr>
    </w:p>
    <w:p w:rsidR="00475FB5" w:rsidRPr="00475FB5" w:rsidRDefault="00475FB5" w:rsidP="00341C3E">
      <w:pPr>
        <w:pStyle w:val="a3"/>
        <w:rPr>
          <w:rFonts w:cs="David" w:hint="cs"/>
          <w:b/>
          <w:bCs/>
          <w:sz w:val="24"/>
          <w:szCs w:val="24"/>
          <w:u w:val="single"/>
        </w:rPr>
      </w:pPr>
    </w:p>
    <w:sectPr w:rsidR="00475FB5" w:rsidRPr="00475FB5">
      <w:headerReference w:type="even" r:id="rId11"/>
      <w:head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FC1" w:rsidRDefault="00036FC1">
      <w:r>
        <w:separator/>
      </w:r>
    </w:p>
  </w:endnote>
  <w:endnote w:type="continuationSeparator" w:id="0">
    <w:p w:rsidR="00036FC1" w:rsidRDefault="00036F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FC1" w:rsidRDefault="00036FC1">
      <w:r>
        <w:separator/>
      </w:r>
    </w:p>
  </w:footnote>
  <w:footnote w:type="continuationSeparator" w:id="0">
    <w:p w:rsidR="00036FC1" w:rsidRDefault="00036FC1">
      <w:r>
        <w:continuationSeparator/>
      </w:r>
    </w:p>
  </w:footnote>
  <w:footnote w:id="1">
    <w:p w:rsidR="00FF6F5F" w:rsidRDefault="00FF6F5F" w:rsidP="0027640A">
      <w:pPr>
        <w:pStyle w:val="a5"/>
        <w:rPr>
          <w:rFonts w:hint="cs"/>
          <w:rtl/>
        </w:rPr>
      </w:pPr>
      <w:r>
        <w:rPr>
          <w:rStyle w:val="a4"/>
        </w:rPr>
        <w:footnoteRef/>
      </w:r>
      <w:r>
        <w:rPr>
          <w:rtl/>
        </w:rPr>
        <w:t xml:space="preserve"> </w:t>
      </w:r>
      <w:r>
        <w:rPr>
          <w:rFonts w:hint="cs"/>
          <w:rtl/>
        </w:rPr>
        <w:t xml:space="preserve">ההוראה המובאת בחוות הדעת היא כפי שמופיע בחוזרי הרענון לאורך השנים. </w:t>
      </w:r>
    </w:p>
    <w:p w:rsidR="00FF6F5F" w:rsidRDefault="00FF6F5F" w:rsidP="0027640A">
      <w:pPr>
        <w:pStyle w:val="a5"/>
        <w:rPr>
          <w:rFonts w:hint="cs"/>
          <w:rtl/>
        </w:rPr>
      </w:pPr>
      <w:r>
        <w:rPr>
          <w:rFonts w:hint="cs"/>
          <w:rtl/>
        </w:rPr>
        <w:t xml:space="preserve">  נוסחה המקורי של ההוראה משנת 1980 הינו כדלהלן:</w:t>
      </w:r>
    </w:p>
    <w:p w:rsidR="00FF6F5F" w:rsidRDefault="00FF6F5F" w:rsidP="0027640A">
      <w:pPr>
        <w:pStyle w:val="a3"/>
        <w:numPr>
          <w:ilvl w:val="1"/>
          <w:numId w:val="1"/>
        </w:numPr>
        <w:rPr>
          <w:rFonts w:hint="cs"/>
          <w:rtl/>
        </w:rPr>
      </w:pPr>
      <w:r w:rsidRPr="00B148FC">
        <w:rPr>
          <w:rtl/>
        </w:rPr>
        <w:t>תשלום החזר ההוצאות מותנ</w:t>
      </w:r>
      <w:r>
        <w:rPr>
          <w:rtl/>
        </w:rPr>
        <w:t>ה בכך שלעובד רכב כשיר</w:t>
      </w:r>
      <w:r w:rsidRPr="00B148FC">
        <w:rPr>
          <w:rtl/>
        </w:rPr>
        <w:t xml:space="preserve"> ומורשה,  בבעלותו  המלאה</w:t>
      </w:r>
    </w:p>
    <w:p w:rsidR="00FF6F5F" w:rsidRDefault="00FF6F5F" w:rsidP="0027640A">
      <w:pPr>
        <w:pStyle w:val="a3"/>
        <w:ind w:left="375"/>
        <w:rPr>
          <w:rFonts w:hint="cs"/>
          <w:rtl/>
        </w:rPr>
      </w:pPr>
      <w:r>
        <w:rPr>
          <w:rFonts w:hint="cs"/>
          <w:rtl/>
        </w:rPr>
        <w:t xml:space="preserve">  </w:t>
      </w:r>
      <w:r w:rsidRPr="00B148FC">
        <w:rPr>
          <w:rtl/>
        </w:rPr>
        <w:t>(או בבעלות בן-זוגו) במשך כל השנה, ושהוא בעל רשיון נהיגה בר-תוקף  ברכב</w:t>
      </w:r>
      <w:r>
        <w:rPr>
          <w:rFonts w:hint="cs"/>
          <w:rtl/>
        </w:rPr>
        <w:t xml:space="preserve"> </w:t>
      </w:r>
      <w:r w:rsidRPr="00B148FC">
        <w:rPr>
          <w:rtl/>
        </w:rPr>
        <w:t xml:space="preserve">זה. </w:t>
      </w:r>
      <w:r w:rsidRPr="00C45A5A">
        <w:rPr>
          <w:rtl/>
        </w:rPr>
        <w:t xml:space="preserve">לא </w:t>
      </w:r>
    </w:p>
    <w:p w:rsidR="00FF6F5F" w:rsidRDefault="00FF6F5F" w:rsidP="0027640A">
      <w:pPr>
        <w:pStyle w:val="a3"/>
        <w:ind w:left="375"/>
      </w:pPr>
      <w:r>
        <w:rPr>
          <w:rFonts w:hint="cs"/>
          <w:rtl/>
        </w:rPr>
        <w:t xml:space="preserve">  </w:t>
      </w:r>
      <w:r w:rsidRPr="00C45A5A">
        <w:rPr>
          <w:rtl/>
        </w:rPr>
        <w:t>ישולם החזר הוצאות בעד תקופה בה לא התמלאו תנאים אלה</w:t>
      </w:r>
      <w:r w:rsidRPr="00B148FC">
        <w:rPr>
          <w:rtl/>
        </w:rPr>
        <w:t xml:space="preserve">.               </w:t>
      </w:r>
    </w:p>
    <w:p w:rsidR="00FF6F5F" w:rsidRDefault="00FF6F5F" w:rsidP="0027640A">
      <w:pPr>
        <w:pStyle w:val="a5"/>
        <w:rPr>
          <w:rFonts w:hint="cs"/>
          <w:rtl/>
        </w:rPr>
      </w:pPr>
    </w:p>
  </w:footnote>
  <w:footnote w:id="2">
    <w:p w:rsidR="00FF6F5F" w:rsidRDefault="00FF6F5F" w:rsidP="0027640A">
      <w:pPr>
        <w:pStyle w:val="a5"/>
        <w:rPr>
          <w:rFonts w:hint="cs"/>
          <w:rtl/>
        </w:rPr>
      </w:pPr>
      <w:r>
        <w:rPr>
          <w:rStyle w:val="a4"/>
        </w:rPr>
        <w:footnoteRef/>
      </w:r>
      <w:r>
        <w:t xml:space="preserve"> </w:t>
      </w:r>
      <w:r>
        <w:rPr>
          <w:rFonts w:hint="cs"/>
          <w:rtl/>
        </w:rPr>
        <w:t xml:space="preserve"> </w:t>
      </w:r>
      <w:r>
        <w:rPr>
          <w:rFonts w:hint="eastAsia"/>
          <w:rtl/>
        </w:rPr>
        <w:t>רענן</w:t>
      </w:r>
      <w:r>
        <w:rPr>
          <w:rtl/>
        </w:rPr>
        <w:t xml:space="preserve"> הר</w:t>
      </w:r>
      <w:r>
        <w:rPr>
          <w:rFonts w:hint="cs"/>
          <w:rtl/>
        </w:rPr>
        <w:t>-</w:t>
      </w:r>
      <w:r>
        <w:rPr>
          <w:rtl/>
        </w:rPr>
        <w:t xml:space="preserve"> זהב </w:t>
      </w:r>
      <w:r>
        <w:rPr>
          <w:rFonts w:hint="cs"/>
          <w:b/>
          <w:bCs/>
          <w:rtl/>
        </w:rPr>
        <w:t>המשפט המנהלי הישראלי</w:t>
      </w:r>
      <w:r>
        <w:rPr>
          <w:rFonts w:hint="cs"/>
          <w:rtl/>
        </w:rPr>
        <w:t xml:space="preserve"> (תשנ"ז) , </w:t>
      </w:r>
      <w:r>
        <w:rPr>
          <w:rtl/>
        </w:rPr>
        <w:t>עמ' 125</w:t>
      </w:r>
      <w:r>
        <w:rPr>
          <w:rFonts w:hint="cs"/>
          <w:rtl/>
        </w:rPr>
        <w:t xml:space="preserve"> .</w:t>
      </w:r>
    </w:p>
  </w:footnote>
  <w:footnote w:id="3">
    <w:p w:rsidR="00FF6F5F" w:rsidRDefault="00FF6F5F" w:rsidP="0027640A">
      <w:pPr>
        <w:pStyle w:val="a5"/>
        <w:rPr>
          <w:rFonts w:hint="cs"/>
          <w:rtl/>
        </w:rPr>
      </w:pPr>
      <w:r>
        <w:rPr>
          <w:rStyle w:val="a4"/>
        </w:rPr>
        <w:footnoteRef/>
      </w:r>
      <w:r>
        <w:t xml:space="preserve"> </w:t>
      </w:r>
      <w:r>
        <w:rPr>
          <w:rFonts w:hint="cs"/>
          <w:rtl/>
        </w:rPr>
        <w:t xml:space="preserve"> י' זמיר </w:t>
      </w:r>
      <w:r>
        <w:rPr>
          <w:rFonts w:hint="cs"/>
          <w:b/>
          <w:bCs/>
          <w:rtl/>
        </w:rPr>
        <w:t>הסמכות המנהלית</w:t>
      </w:r>
      <w:r>
        <w:rPr>
          <w:rFonts w:hint="cs"/>
          <w:rtl/>
        </w:rPr>
        <w:t xml:space="preserve"> (תשנ"ו), 773.</w:t>
      </w:r>
    </w:p>
  </w:footnote>
  <w:footnote w:id="4">
    <w:p w:rsidR="00FF6F5F" w:rsidRDefault="00FF6F5F" w:rsidP="0027640A">
      <w:pPr>
        <w:pStyle w:val="a5"/>
        <w:rPr>
          <w:rtl/>
        </w:rPr>
      </w:pPr>
      <w:r>
        <w:rPr>
          <w:rStyle w:val="a4"/>
        </w:rPr>
        <w:footnoteRef/>
      </w:r>
      <w:r>
        <w:t xml:space="preserve"> </w:t>
      </w:r>
      <w:r>
        <w:rPr>
          <w:rtl/>
        </w:rPr>
        <w:t xml:space="preserve"> </w:t>
      </w:r>
      <w:r>
        <w:rPr>
          <w:rFonts w:hint="eastAsia"/>
          <w:rtl/>
        </w:rPr>
        <w:t>בע</w:t>
      </w:r>
      <w:r>
        <w:rPr>
          <w:rtl/>
        </w:rPr>
        <w:t>"</w:t>
      </w:r>
      <w:r>
        <w:rPr>
          <w:rFonts w:hint="eastAsia"/>
          <w:rtl/>
        </w:rPr>
        <w:t>א</w:t>
      </w:r>
      <w:r>
        <w:rPr>
          <w:rtl/>
        </w:rPr>
        <w:t xml:space="preserve"> 5042/96 -</w:t>
      </w:r>
      <w:r>
        <w:rPr>
          <w:b/>
          <w:bCs/>
          <w:rtl/>
        </w:rPr>
        <w:t>פנחס כהן נ' מינהל מקרקעי ישראל</w:t>
      </w:r>
      <w:r>
        <w:rPr>
          <w:rFonts w:hint="cs"/>
          <w:rtl/>
        </w:rPr>
        <w:t xml:space="preserve">, </w:t>
      </w:r>
      <w:r>
        <w:rPr>
          <w:rtl/>
        </w:rPr>
        <w:t>תק-על 99(1) 15</w:t>
      </w:r>
      <w:r>
        <w:rPr>
          <w:rFonts w:hint="cs"/>
          <w:rtl/>
        </w:rPr>
        <w:t>8</w:t>
      </w:r>
      <w:r>
        <w:rPr>
          <w:rtl/>
        </w:rPr>
        <w:t xml:space="preserve"> , 164.</w:t>
      </w:r>
    </w:p>
  </w:footnote>
  <w:footnote w:id="5">
    <w:p w:rsidR="00FF6F5F" w:rsidRDefault="00FF6F5F" w:rsidP="0027640A">
      <w:pPr>
        <w:pStyle w:val="a5"/>
        <w:rPr>
          <w:rFonts w:hint="cs"/>
          <w:rtl/>
        </w:rPr>
      </w:pPr>
      <w:r>
        <w:rPr>
          <w:rStyle w:val="a4"/>
        </w:rPr>
        <w:footnoteRef/>
      </w:r>
      <w:r>
        <w:t xml:space="preserve"> </w:t>
      </w:r>
      <w:r>
        <w:rPr>
          <w:rFonts w:hint="cs"/>
          <w:rtl/>
        </w:rPr>
        <w:t xml:space="preserve"> י'</w:t>
      </w:r>
      <w:r>
        <w:rPr>
          <w:rtl/>
        </w:rPr>
        <w:t xml:space="preserve"> </w:t>
      </w:r>
      <w:r>
        <w:rPr>
          <w:rFonts w:hint="eastAsia"/>
          <w:rtl/>
        </w:rPr>
        <w:t>זמיר</w:t>
      </w:r>
      <w:r>
        <w:rPr>
          <w:rFonts w:hint="cs"/>
          <w:rtl/>
        </w:rPr>
        <w:t xml:space="preserve">, </w:t>
      </w:r>
      <w:r>
        <w:rPr>
          <w:rFonts w:hint="cs"/>
          <w:b/>
          <w:bCs/>
          <w:rtl/>
        </w:rPr>
        <w:t>לעיל</w:t>
      </w:r>
      <w:r>
        <w:rPr>
          <w:rtl/>
        </w:rPr>
        <w:t xml:space="preserve"> </w:t>
      </w:r>
      <w:r>
        <w:rPr>
          <w:rFonts w:hint="cs"/>
          <w:rtl/>
        </w:rPr>
        <w:t>הע"ש 3, ב</w:t>
      </w:r>
      <w:r>
        <w:rPr>
          <w:rtl/>
        </w:rPr>
        <w:t>עמ' 778</w:t>
      </w:r>
      <w:r>
        <w:rPr>
          <w:rFonts w:hint="cs"/>
          <w:rtl/>
        </w:rPr>
        <w:t>.</w:t>
      </w:r>
    </w:p>
  </w:footnote>
  <w:footnote w:id="6">
    <w:p w:rsidR="00FF6F5F" w:rsidRDefault="00FF6F5F" w:rsidP="0027640A">
      <w:pPr>
        <w:pStyle w:val="a5"/>
        <w:rPr>
          <w:rFonts w:hint="cs"/>
          <w:rtl/>
        </w:rPr>
      </w:pPr>
      <w:r>
        <w:rPr>
          <w:rStyle w:val="a4"/>
        </w:rPr>
        <w:footnoteRef/>
      </w:r>
      <w:r>
        <w:t xml:space="preserve"> </w:t>
      </w:r>
      <w:r>
        <w:rPr>
          <w:rFonts w:hint="cs"/>
          <w:rtl/>
        </w:rPr>
        <w:t xml:space="preserve"> </w:t>
      </w:r>
      <w:r>
        <w:rPr>
          <w:rtl/>
        </w:rPr>
        <w:t>ר</w:t>
      </w:r>
      <w:r>
        <w:rPr>
          <w:rFonts w:hint="cs"/>
          <w:rtl/>
        </w:rPr>
        <w:t>'</w:t>
      </w:r>
      <w:r>
        <w:rPr>
          <w:rtl/>
        </w:rPr>
        <w:t xml:space="preserve"> הר - זהב, </w:t>
      </w:r>
      <w:r>
        <w:rPr>
          <w:rFonts w:hint="cs"/>
          <w:rtl/>
        </w:rPr>
        <w:t xml:space="preserve">לעיל הע"ש 2, </w:t>
      </w:r>
      <w:r>
        <w:rPr>
          <w:rtl/>
        </w:rPr>
        <w:t>עמ' 27.</w:t>
      </w:r>
    </w:p>
  </w:footnote>
  <w:footnote w:id="7">
    <w:p w:rsidR="00FF6F5F" w:rsidRDefault="00FF6F5F" w:rsidP="0027640A">
      <w:pPr>
        <w:pStyle w:val="a5"/>
        <w:rPr>
          <w:rFonts w:hint="cs"/>
          <w:rtl/>
        </w:rPr>
      </w:pPr>
      <w:r>
        <w:rPr>
          <w:rStyle w:val="a4"/>
        </w:rPr>
        <w:footnoteRef/>
      </w:r>
      <w:r>
        <w:t xml:space="preserve"> </w:t>
      </w:r>
      <w:r>
        <w:rPr>
          <w:rFonts w:hint="cs"/>
          <w:rtl/>
        </w:rPr>
        <w:t xml:space="preserve">  </w:t>
      </w:r>
      <w:r>
        <w:rPr>
          <w:rtl/>
        </w:rPr>
        <w:t xml:space="preserve">בג"צ 596/75 - </w:t>
      </w:r>
      <w:r>
        <w:rPr>
          <w:b/>
          <w:bCs/>
          <w:rtl/>
        </w:rPr>
        <w:t>מכבי תל-אביב אגודה לספורט נ' רשות השידור</w:t>
      </w:r>
      <w:r>
        <w:rPr>
          <w:rtl/>
        </w:rPr>
        <w:t xml:space="preserve"> </w:t>
      </w:r>
      <w:r>
        <w:rPr>
          <w:rFonts w:hint="cs"/>
          <w:rtl/>
        </w:rPr>
        <w:t>,</w:t>
      </w:r>
      <w:r>
        <w:rPr>
          <w:rtl/>
        </w:rPr>
        <w:t xml:space="preserve"> פ"ד ל(1) 772</w:t>
      </w:r>
      <w:r>
        <w:rPr>
          <w:rFonts w:hint="cs"/>
          <w:rtl/>
        </w:rPr>
        <w:t xml:space="preserve">, 775-776 . </w:t>
      </w:r>
    </w:p>
    <w:p w:rsidR="00FF6F5F" w:rsidRDefault="00FF6F5F" w:rsidP="0027640A">
      <w:pPr>
        <w:pStyle w:val="a5"/>
        <w:rPr>
          <w:rFonts w:hint="cs"/>
          <w:rtl/>
        </w:rPr>
      </w:pPr>
      <w:r>
        <w:rPr>
          <w:rFonts w:hint="cs"/>
          <w:rtl/>
        </w:rPr>
        <w:t xml:space="preserve">     </w:t>
      </w:r>
      <w:r>
        <w:rPr>
          <w:rtl/>
        </w:rPr>
        <w:t xml:space="preserve">בג"צ 381/91 - </w:t>
      </w:r>
      <w:r>
        <w:rPr>
          <w:b/>
          <w:bCs/>
          <w:rtl/>
        </w:rPr>
        <w:t>לאה גרוס נ' משרד החינוך  והתרבות ו-2 אח'</w:t>
      </w:r>
      <w:r>
        <w:rPr>
          <w:rFonts w:hint="cs"/>
          <w:rtl/>
        </w:rPr>
        <w:t>,</w:t>
      </w:r>
      <w:r>
        <w:rPr>
          <w:rtl/>
        </w:rPr>
        <w:t xml:space="preserve"> פ"ד מו(1) 53</w:t>
      </w:r>
      <w:r>
        <w:rPr>
          <w:rFonts w:hint="cs"/>
          <w:rtl/>
        </w:rPr>
        <w:t>, 57.</w:t>
      </w:r>
      <w:r>
        <w:rPr>
          <w:rtl/>
        </w:rPr>
        <w:t xml:space="preserve"> </w:t>
      </w:r>
      <w:r>
        <w:rPr>
          <w:rFonts w:hint="cs"/>
          <w:rtl/>
        </w:rPr>
        <w:t xml:space="preserve">                                               </w:t>
      </w:r>
    </w:p>
  </w:footnote>
  <w:footnote w:id="8">
    <w:p w:rsidR="00FF6F5F" w:rsidRDefault="00FF6F5F" w:rsidP="0027640A">
      <w:pPr>
        <w:pStyle w:val="a5"/>
        <w:rPr>
          <w:rFonts w:hint="cs"/>
          <w:rtl/>
        </w:rPr>
      </w:pPr>
      <w:r>
        <w:rPr>
          <w:rStyle w:val="a4"/>
        </w:rPr>
        <w:footnoteRef/>
      </w:r>
      <w:r>
        <w:t xml:space="preserve"> </w:t>
      </w:r>
      <w:r>
        <w:rPr>
          <w:rFonts w:hint="cs"/>
          <w:rtl/>
        </w:rPr>
        <w:t xml:space="preserve"> </w:t>
      </w:r>
      <w:r>
        <w:rPr>
          <w:rtl/>
        </w:rPr>
        <w:t>חוק יסודות התקציב, התשמ"ה-1985.</w:t>
      </w:r>
    </w:p>
  </w:footnote>
  <w:footnote w:id="9">
    <w:p w:rsidR="00FF6F5F" w:rsidRDefault="00FF6F5F" w:rsidP="0027640A">
      <w:pPr>
        <w:pStyle w:val="a5"/>
        <w:rPr>
          <w:rFonts w:hint="cs"/>
          <w:rtl/>
        </w:rPr>
      </w:pPr>
      <w:r>
        <w:rPr>
          <w:rFonts w:hint="cs"/>
          <w:rtl/>
        </w:rPr>
        <w:t xml:space="preserve"> </w:t>
      </w:r>
      <w:r>
        <w:rPr>
          <w:rStyle w:val="a4"/>
        </w:rPr>
        <w:footnoteRef/>
      </w:r>
      <w:r>
        <w:rPr>
          <w:rtl/>
        </w:rPr>
        <w:t xml:space="preserve"> </w:t>
      </w:r>
      <w:r>
        <w:rPr>
          <w:rFonts w:hint="cs"/>
          <w:rtl/>
        </w:rPr>
        <w:t>חוק נכסי המדינה, התשי"א-1951.</w:t>
      </w:r>
    </w:p>
  </w:footnote>
  <w:footnote w:id="10">
    <w:p w:rsidR="00FF6F5F" w:rsidRDefault="00FF6F5F" w:rsidP="0027640A">
      <w:pPr>
        <w:pStyle w:val="a5"/>
        <w:rPr>
          <w:rFonts w:hint="cs"/>
          <w:rtl/>
        </w:rPr>
      </w:pPr>
      <w:r>
        <w:rPr>
          <w:rStyle w:val="a4"/>
        </w:rPr>
        <w:footnoteRef/>
      </w:r>
      <w:r>
        <w:rPr>
          <w:rtl/>
        </w:rPr>
        <w:t xml:space="preserve"> </w:t>
      </w:r>
      <w:r>
        <w:rPr>
          <w:rFonts w:hint="cs"/>
          <w:rtl/>
        </w:rPr>
        <w:t>חוק יסוד: הממשלה, ס"ח תשס"א, 158.</w:t>
      </w:r>
    </w:p>
  </w:footnote>
  <w:footnote w:id="11">
    <w:p w:rsidR="00FF6F5F" w:rsidRDefault="00FF6F5F">
      <w:pPr>
        <w:pStyle w:val="a5"/>
        <w:rPr>
          <w:rFonts w:hint="cs"/>
        </w:rPr>
      </w:pPr>
      <w:r>
        <w:rPr>
          <w:rStyle w:val="a4"/>
        </w:rPr>
        <w:footnoteRef/>
      </w:r>
      <w:r>
        <w:rPr>
          <w:rtl/>
        </w:rPr>
        <w:t xml:space="preserve"> </w:t>
      </w:r>
      <w:r>
        <w:rPr>
          <w:rFonts w:hint="cs"/>
          <w:rtl/>
        </w:rPr>
        <w:t>חוק הממשלה, התשס"א-2001.</w:t>
      </w:r>
    </w:p>
  </w:footnote>
  <w:footnote w:id="12">
    <w:p w:rsidR="00FF6F5F" w:rsidRDefault="00FF6F5F" w:rsidP="0027640A">
      <w:pPr>
        <w:pStyle w:val="a5"/>
        <w:rPr>
          <w:rFonts w:hint="cs"/>
          <w:rtl/>
        </w:rPr>
      </w:pPr>
      <w:r>
        <w:rPr>
          <w:rStyle w:val="a4"/>
        </w:rPr>
        <w:footnoteRef/>
      </w:r>
      <w:r>
        <w:t xml:space="preserve"> </w:t>
      </w:r>
      <w:r>
        <w:rPr>
          <w:rFonts w:hint="cs"/>
          <w:rtl/>
        </w:rPr>
        <w:t xml:space="preserve"> </w:t>
      </w:r>
      <w:r>
        <w:rPr>
          <w:rtl/>
        </w:rPr>
        <w:t xml:space="preserve">בג"צ 3/58 </w:t>
      </w:r>
      <w:r>
        <w:rPr>
          <w:b/>
          <w:bCs/>
          <w:rtl/>
        </w:rPr>
        <w:t>יונה ברמן</w:t>
      </w:r>
      <w:r>
        <w:rPr>
          <w:rFonts w:hint="cs"/>
          <w:b/>
          <w:bCs/>
          <w:rtl/>
        </w:rPr>
        <w:t xml:space="preserve"> </w:t>
      </w:r>
      <w:r>
        <w:rPr>
          <w:b/>
          <w:bCs/>
          <w:rtl/>
        </w:rPr>
        <w:t>ואח' נ' שר-הפנים</w:t>
      </w:r>
      <w:r>
        <w:rPr>
          <w:rFonts w:hint="cs"/>
          <w:rtl/>
        </w:rPr>
        <w:t xml:space="preserve">, </w:t>
      </w:r>
      <w:r>
        <w:rPr>
          <w:rtl/>
        </w:rPr>
        <w:t>פ"ד יב(2), 1493</w:t>
      </w:r>
      <w:r>
        <w:rPr>
          <w:rFonts w:hint="cs"/>
          <w:rtl/>
        </w:rPr>
        <w:t>.</w:t>
      </w:r>
    </w:p>
  </w:footnote>
  <w:footnote w:id="13">
    <w:p w:rsidR="00FF6F5F" w:rsidRDefault="00FF6F5F">
      <w:pPr>
        <w:pStyle w:val="a5"/>
        <w:rPr>
          <w:rFonts w:hint="cs"/>
          <w:rtl/>
        </w:rPr>
      </w:pPr>
      <w:r>
        <w:rPr>
          <w:rStyle w:val="a4"/>
        </w:rPr>
        <w:footnoteRef/>
      </w:r>
      <w:r>
        <w:rPr>
          <w:rtl/>
        </w:rPr>
        <w:t xml:space="preserve"> </w:t>
      </w:r>
      <w:r>
        <w:rPr>
          <w:rFonts w:ascii="Arial" w:hAnsi="Arial" w:hint="cs"/>
          <w:color w:val="000000"/>
          <w:rtl/>
        </w:rPr>
        <w:t>ראה נספח ג, בהתאם לו אחוז הנשים מקרב כלל בעלי הרישיון, בין השנים 1985-2004, היה בממוצע 44%, ובשנה מסוימת אף הגיע ל- 38% בלבד, אף שאחוז הנשים בכלל האוכלוסיה היה בשנים אלו גבוה מחמישים אחוז. בנושא זה ראה הרחבה בהמשך.</w:t>
      </w:r>
    </w:p>
  </w:footnote>
  <w:footnote w:id="14">
    <w:p w:rsidR="00FF6F5F" w:rsidRDefault="00FF6F5F" w:rsidP="00B655C8">
      <w:pPr>
        <w:pStyle w:val="a5"/>
        <w:rPr>
          <w:rFonts w:hint="cs"/>
          <w:rtl/>
        </w:rPr>
      </w:pPr>
      <w:r>
        <w:rPr>
          <w:rStyle w:val="a4"/>
        </w:rPr>
        <w:footnoteRef/>
      </w:r>
      <w:r>
        <w:rPr>
          <w:rtl/>
        </w:rPr>
        <w:t xml:space="preserve"> </w:t>
      </w:r>
      <w:r>
        <w:rPr>
          <w:rFonts w:hint="cs"/>
          <w:rtl/>
        </w:rPr>
        <w:t xml:space="preserve">בג"צ 721/94 </w:t>
      </w:r>
      <w:r>
        <w:rPr>
          <w:rFonts w:hint="cs"/>
          <w:b/>
          <w:bCs/>
          <w:rtl/>
        </w:rPr>
        <w:t xml:space="preserve">אל-על נתיבי אויר לישראל בע"מ נ' יונתן דנילוביץ' ובית הדין הארצי לעבודה, </w:t>
      </w:r>
      <w:r>
        <w:rPr>
          <w:rFonts w:hint="cs"/>
          <w:rtl/>
        </w:rPr>
        <w:t>פ"ד מח(5) 749 (להלן: בג"צ דנילוביץ').</w:t>
      </w:r>
    </w:p>
  </w:footnote>
  <w:footnote w:id="15">
    <w:p w:rsidR="00FF6F5F" w:rsidRDefault="00FF6F5F" w:rsidP="00B655C8">
      <w:pPr>
        <w:pStyle w:val="a5"/>
        <w:rPr>
          <w:rFonts w:hint="cs"/>
        </w:rPr>
      </w:pPr>
      <w:r>
        <w:rPr>
          <w:rStyle w:val="a4"/>
        </w:rPr>
        <w:footnoteRef/>
      </w:r>
      <w:r>
        <w:rPr>
          <w:rtl/>
        </w:rPr>
        <w:t xml:space="preserve"> </w:t>
      </w:r>
      <w:r>
        <w:rPr>
          <w:rFonts w:hint="cs"/>
          <w:rtl/>
        </w:rPr>
        <w:t>חוק יסוד: כבוד האדם וחירותו, התשנ"ב-1992, ס"ח תשנ"ד, 90.</w:t>
      </w:r>
    </w:p>
  </w:footnote>
  <w:footnote w:id="16">
    <w:p w:rsidR="00FF6F5F" w:rsidRDefault="00FF6F5F" w:rsidP="00B655C8">
      <w:pPr>
        <w:pStyle w:val="a5"/>
        <w:rPr>
          <w:rFonts w:hint="cs"/>
        </w:rPr>
      </w:pPr>
      <w:r>
        <w:rPr>
          <w:rStyle w:val="a4"/>
        </w:rPr>
        <w:footnoteRef/>
      </w:r>
      <w:r>
        <w:rPr>
          <w:rtl/>
        </w:rPr>
        <w:t xml:space="preserve"> </w:t>
      </w:r>
      <w:r>
        <w:rPr>
          <w:rFonts w:hint="cs"/>
          <w:rtl/>
        </w:rPr>
        <w:t>חוק יסוד: חופש העיסוק, התשנ"ד-1994, ס"ח תשנ"ח, 178.</w:t>
      </w:r>
    </w:p>
  </w:footnote>
  <w:footnote w:id="17">
    <w:p w:rsidR="00FF6F5F" w:rsidRPr="00ED703A" w:rsidRDefault="00FF6F5F" w:rsidP="00B655C8">
      <w:pPr>
        <w:pStyle w:val="a5"/>
        <w:rPr>
          <w:rFonts w:hint="cs"/>
        </w:rPr>
      </w:pPr>
      <w:r>
        <w:rPr>
          <w:rStyle w:val="a4"/>
        </w:rPr>
        <w:footnoteRef/>
      </w:r>
      <w:r>
        <w:rPr>
          <w:rtl/>
        </w:rPr>
        <w:t xml:space="preserve"> </w:t>
      </w:r>
      <w:r>
        <w:rPr>
          <w:rFonts w:hint="cs"/>
          <w:rtl/>
        </w:rPr>
        <w:t xml:space="preserve">בג"צ 53/94 </w:t>
      </w:r>
      <w:r>
        <w:rPr>
          <w:rFonts w:hint="cs"/>
          <w:b/>
          <w:bCs/>
          <w:rtl/>
        </w:rPr>
        <w:t xml:space="preserve">אורי הופרט נ' "יד ושם", רשות הזכרון לשואה ולגבורה, </w:t>
      </w:r>
      <w:r>
        <w:rPr>
          <w:rFonts w:hint="cs"/>
          <w:rtl/>
        </w:rPr>
        <w:t>פ"ד מח(3) 353. (להלן: בג"צ הופרט)</w:t>
      </w:r>
    </w:p>
  </w:footnote>
  <w:footnote w:id="18">
    <w:p w:rsidR="00FF6F5F" w:rsidRPr="00C77AA1" w:rsidRDefault="00FF6F5F" w:rsidP="00C364BE">
      <w:pPr>
        <w:pStyle w:val="a5"/>
        <w:rPr>
          <w:rFonts w:hint="cs"/>
          <w:rtl/>
        </w:rPr>
      </w:pPr>
      <w:r>
        <w:rPr>
          <w:rStyle w:val="a4"/>
        </w:rPr>
        <w:footnoteRef/>
      </w:r>
      <w:r>
        <w:rPr>
          <w:rtl/>
        </w:rPr>
        <w:t xml:space="preserve"> </w:t>
      </w:r>
      <w:r>
        <w:rPr>
          <w:rFonts w:hint="cs"/>
          <w:rtl/>
        </w:rPr>
        <w:t xml:space="preserve">ר' בן-ישראל, </w:t>
      </w:r>
      <w:r>
        <w:rPr>
          <w:rFonts w:hint="cs"/>
          <w:b/>
          <w:bCs/>
          <w:rtl/>
        </w:rPr>
        <w:t>שוויון הזדמנויות ואיסור אפליה בעבודה</w:t>
      </w:r>
      <w:r>
        <w:rPr>
          <w:rFonts w:hint="cs"/>
          <w:rtl/>
        </w:rPr>
        <w:t>, כרך ראשון</w:t>
      </w:r>
      <w:r>
        <w:rPr>
          <w:rFonts w:hint="cs"/>
          <w:b/>
          <w:bCs/>
          <w:rtl/>
        </w:rPr>
        <w:t xml:space="preserve"> </w:t>
      </w:r>
      <w:r>
        <w:rPr>
          <w:rFonts w:hint="cs"/>
          <w:rtl/>
        </w:rPr>
        <w:t>(האוניברסיטה הפתוחה, תשנ"ח).</w:t>
      </w:r>
    </w:p>
  </w:footnote>
  <w:footnote w:id="19">
    <w:p w:rsidR="00FF6F5F" w:rsidRDefault="00FF6F5F" w:rsidP="00B655C8">
      <w:pPr>
        <w:pStyle w:val="a5"/>
        <w:rPr>
          <w:rFonts w:hint="cs"/>
        </w:rPr>
      </w:pPr>
      <w:r>
        <w:rPr>
          <w:rStyle w:val="a4"/>
        </w:rPr>
        <w:footnoteRef/>
      </w:r>
      <w:r>
        <w:rPr>
          <w:rtl/>
        </w:rPr>
        <w:t xml:space="preserve"> </w:t>
      </w:r>
      <w:r>
        <w:rPr>
          <w:rFonts w:hint="cs"/>
          <w:rtl/>
        </w:rPr>
        <w:t>הצעת חוק יסוד: זכויות חברתיות, הצ"ח התשנ"ד, 337.</w:t>
      </w:r>
    </w:p>
  </w:footnote>
  <w:footnote w:id="20">
    <w:p w:rsidR="00FF6F5F" w:rsidRPr="00ED703A" w:rsidRDefault="00FF6F5F" w:rsidP="00B655C8">
      <w:pPr>
        <w:pStyle w:val="a5"/>
        <w:rPr>
          <w:rFonts w:hint="cs"/>
          <w:rtl/>
        </w:rPr>
      </w:pPr>
      <w:r>
        <w:rPr>
          <w:rStyle w:val="a4"/>
        </w:rPr>
        <w:footnoteRef/>
      </w:r>
      <w:r>
        <w:rPr>
          <w:rtl/>
        </w:rPr>
        <w:t xml:space="preserve"> </w:t>
      </w:r>
      <w:r>
        <w:rPr>
          <w:rFonts w:hint="cs"/>
          <w:rtl/>
        </w:rPr>
        <w:t xml:space="preserve"> א' ברק, </w:t>
      </w:r>
      <w:r>
        <w:rPr>
          <w:rFonts w:hint="cs"/>
          <w:b/>
          <w:bCs/>
          <w:rtl/>
        </w:rPr>
        <w:t xml:space="preserve">פרשנות במשפט, </w:t>
      </w:r>
      <w:r>
        <w:rPr>
          <w:rFonts w:hint="cs"/>
          <w:rtl/>
        </w:rPr>
        <w:t xml:space="preserve">כרך שלישי, </w:t>
      </w:r>
      <w:r>
        <w:rPr>
          <w:rFonts w:hint="cs"/>
          <w:b/>
          <w:bCs/>
          <w:rtl/>
        </w:rPr>
        <w:t xml:space="preserve">פרשנות חוקתית </w:t>
      </w:r>
      <w:r>
        <w:rPr>
          <w:rFonts w:hint="cs"/>
          <w:rtl/>
        </w:rPr>
        <w:t>(הוצאת נבו, ירושלים, תשנ"ד). (להלן: ברק, פרשנות חוקתית).</w:t>
      </w:r>
    </w:p>
  </w:footnote>
  <w:footnote w:id="21">
    <w:p w:rsidR="00FF6F5F" w:rsidRPr="00DE22D0" w:rsidRDefault="00FF6F5F" w:rsidP="00B655C8">
      <w:pPr>
        <w:pStyle w:val="a5"/>
        <w:rPr>
          <w:rFonts w:hint="cs"/>
          <w:rtl/>
        </w:rPr>
      </w:pPr>
      <w:r>
        <w:rPr>
          <w:rStyle w:val="a4"/>
        </w:rPr>
        <w:footnoteRef/>
      </w:r>
      <w:r>
        <w:rPr>
          <w:rtl/>
        </w:rPr>
        <w:t xml:space="preserve"> </w:t>
      </w:r>
      <w:r>
        <w:rPr>
          <w:rFonts w:hint="cs"/>
          <w:rtl/>
        </w:rPr>
        <w:t xml:space="preserve">בג"צ 453/94 </w:t>
      </w:r>
      <w:r>
        <w:rPr>
          <w:rFonts w:hint="cs"/>
          <w:b/>
          <w:bCs/>
          <w:rtl/>
        </w:rPr>
        <w:t xml:space="preserve">שדולת הנשים בישראל נ' ממשלת ישראל ואח', </w:t>
      </w:r>
      <w:r>
        <w:rPr>
          <w:rFonts w:hint="cs"/>
          <w:rtl/>
        </w:rPr>
        <w:t xml:space="preserve">פ"ד מח(5) 501, דברי השופט מצא (להלן: בג"צ שדולת הנשים); בג"צ 1074/93 </w:t>
      </w:r>
      <w:r>
        <w:rPr>
          <w:rFonts w:hint="cs"/>
          <w:b/>
          <w:bCs/>
          <w:rtl/>
        </w:rPr>
        <w:t xml:space="preserve">בזק ואח' נ' בית הדין הארצי לעבודה ואח', </w:t>
      </w:r>
      <w:r>
        <w:rPr>
          <w:rFonts w:hint="cs"/>
          <w:rtl/>
        </w:rPr>
        <w:t xml:space="preserve">פ"ד מט(2) 485, דברי השופט דב לוין; דב"ע נה/4-30 </w:t>
      </w:r>
      <w:r>
        <w:rPr>
          <w:rFonts w:hint="cs"/>
          <w:b/>
          <w:bCs/>
          <w:rtl/>
        </w:rPr>
        <w:t xml:space="preserve">"עמית" </w:t>
      </w:r>
      <w:r>
        <w:rPr>
          <w:b/>
          <w:bCs/>
          <w:rtl/>
        </w:rPr>
        <w:t>–</w:t>
      </w:r>
      <w:r>
        <w:rPr>
          <w:rFonts w:hint="cs"/>
          <w:b/>
          <w:bCs/>
          <w:rtl/>
        </w:rPr>
        <w:t xml:space="preserve"> הסתדרות עובדים מכבי נ' מרכז השלטון המקומי ואח', </w:t>
      </w:r>
      <w:r>
        <w:rPr>
          <w:rFonts w:hint="cs"/>
          <w:rtl/>
        </w:rPr>
        <w:t>פ"ד כט 61.</w:t>
      </w:r>
    </w:p>
  </w:footnote>
  <w:footnote w:id="22">
    <w:p w:rsidR="00FF6F5F" w:rsidRPr="00EF249F" w:rsidRDefault="00FF6F5F" w:rsidP="00B655C8">
      <w:pPr>
        <w:pStyle w:val="a5"/>
        <w:rPr>
          <w:rFonts w:hint="cs"/>
        </w:rPr>
      </w:pPr>
      <w:r>
        <w:rPr>
          <w:rStyle w:val="a4"/>
        </w:rPr>
        <w:footnoteRef/>
      </w:r>
      <w:r>
        <w:rPr>
          <w:rtl/>
        </w:rPr>
        <w:t xml:space="preserve"> </w:t>
      </w:r>
      <w:r>
        <w:rPr>
          <w:rFonts w:hint="cs"/>
          <w:rtl/>
        </w:rPr>
        <w:t xml:space="preserve">בג"צ 953/87 </w:t>
      </w:r>
      <w:r>
        <w:rPr>
          <w:rFonts w:hint="cs"/>
          <w:b/>
          <w:bCs/>
          <w:rtl/>
        </w:rPr>
        <w:t xml:space="preserve">אברהם פורז נ' ראש עיריית תל-אביב-יפו ואח', </w:t>
      </w:r>
      <w:r>
        <w:rPr>
          <w:rFonts w:hint="cs"/>
          <w:rtl/>
        </w:rPr>
        <w:t xml:space="preserve">פ"ד מב(2) 309 (להלן: בג"צ פורז); וכן ראה דברי השופט אלון בע"ב 2/88 </w:t>
      </w:r>
      <w:r>
        <w:rPr>
          <w:rFonts w:hint="cs"/>
          <w:b/>
          <w:bCs/>
          <w:rtl/>
        </w:rPr>
        <w:t xml:space="preserve">יהורם בן שלום ואח' נ' ועדת הבחירות המרכזית לכנסת השתים-עשרה, </w:t>
      </w:r>
      <w:r>
        <w:rPr>
          <w:rFonts w:hint="cs"/>
          <w:rtl/>
        </w:rPr>
        <w:t>פ"ד מג(4) 221.</w:t>
      </w:r>
    </w:p>
  </w:footnote>
  <w:footnote w:id="23">
    <w:p w:rsidR="00FF6F5F" w:rsidRPr="00D71398" w:rsidRDefault="00FF6F5F" w:rsidP="00B655C8">
      <w:pPr>
        <w:pStyle w:val="a5"/>
        <w:rPr>
          <w:rFonts w:hint="cs"/>
          <w:rtl/>
        </w:rPr>
      </w:pPr>
      <w:r>
        <w:rPr>
          <w:rStyle w:val="a4"/>
        </w:rPr>
        <w:footnoteRef/>
      </w:r>
      <w:r>
        <w:rPr>
          <w:rtl/>
        </w:rPr>
        <w:t xml:space="preserve"> </w:t>
      </w:r>
      <w:r>
        <w:rPr>
          <w:rFonts w:hint="cs"/>
          <w:rtl/>
        </w:rPr>
        <w:t xml:space="preserve">בג"צ 98/69 </w:t>
      </w:r>
      <w:r>
        <w:rPr>
          <w:rFonts w:hint="cs"/>
          <w:b/>
          <w:bCs/>
          <w:rtl/>
        </w:rPr>
        <w:t xml:space="preserve">אהרון ברגמן נ' שר האוצר ואח', </w:t>
      </w:r>
      <w:r>
        <w:rPr>
          <w:rFonts w:hint="cs"/>
          <w:rtl/>
        </w:rPr>
        <w:t>פד כג(1) 693.</w:t>
      </w:r>
    </w:p>
  </w:footnote>
  <w:footnote w:id="24">
    <w:p w:rsidR="00FF6F5F" w:rsidRDefault="00FF6F5F" w:rsidP="00B655C8">
      <w:pPr>
        <w:pStyle w:val="a5"/>
        <w:rPr>
          <w:rFonts w:hint="cs"/>
        </w:rPr>
      </w:pPr>
      <w:r>
        <w:rPr>
          <w:rStyle w:val="a4"/>
        </w:rPr>
        <w:footnoteRef/>
      </w:r>
      <w:r>
        <w:rPr>
          <w:rtl/>
        </w:rPr>
        <w:t xml:space="preserve"> </w:t>
      </w:r>
      <w:r>
        <w:rPr>
          <w:rFonts w:hint="cs"/>
          <w:rtl/>
        </w:rPr>
        <w:t>בג"צ שדולת הנשים, עמוד 521.</w:t>
      </w:r>
    </w:p>
  </w:footnote>
  <w:footnote w:id="25">
    <w:p w:rsidR="00FF6F5F" w:rsidRDefault="00FF6F5F" w:rsidP="00B655C8">
      <w:pPr>
        <w:pStyle w:val="a5"/>
        <w:rPr>
          <w:rFonts w:hint="cs"/>
          <w:rtl/>
        </w:rPr>
      </w:pPr>
      <w:r>
        <w:rPr>
          <w:rStyle w:val="a4"/>
        </w:rPr>
        <w:footnoteRef/>
      </w:r>
      <w:r>
        <w:rPr>
          <w:rtl/>
        </w:rPr>
        <w:t xml:space="preserve"> </w:t>
      </w:r>
      <w:r>
        <w:rPr>
          <w:rFonts w:hint="cs"/>
          <w:rtl/>
        </w:rPr>
        <w:t xml:space="preserve">דב"ע לג/3-25 </w:t>
      </w:r>
      <w:r>
        <w:rPr>
          <w:rFonts w:hint="cs"/>
          <w:b/>
          <w:bCs/>
          <w:rtl/>
        </w:rPr>
        <w:t xml:space="preserve">ועד אנשי צוות דיילי אויר ואח' נ' עדנה חזין ואח', </w:t>
      </w:r>
      <w:r>
        <w:rPr>
          <w:rFonts w:hint="cs"/>
          <w:rtl/>
        </w:rPr>
        <w:t xml:space="preserve">פד"ע ד 365 (להלן: פרשת חזין). </w:t>
      </w:r>
    </w:p>
    <w:p w:rsidR="00FF6F5F" w:rsidRPr="007C23A7" w:rsidRDefault="00FF6F5F" w:rsidP="00B655C8">
      <w:pPr>
        <w:pStyle w:val="a5"/>
        <w:rPr>
          <w:rFonts w:hint="cs"/>
          <w:rtl/>
        </w:rPr>
      </w:pPr>
      <w:r>
        <w:rPr>
          <w:rFonts w:hint="cs"/>
          <w:rtl/>
        </w:rPr>
        <w:t>בפרשה זו נקבע כי כבוד האדם משקף גם את השוויון בעבודה, ואפליית עובד פוגעת בכבודו כאדם.</w:t>
      </w:r>
    </w:p>
  </w:footnote>
  <w:footnote w:id="26">
    <w:p w:rsidR="00FF6F5F" w:rsidRPr="00801A8B" w:rsidRDefault="00FF6F5F" w:rsidP="00B655C8">
      <w:pPr>
        <w:pStyle w:val="a5"/>
        <w:rPr>
          <w:rFonts w:hint="cs"/>
          <w:rtl/>
        </w:rPr>
      </w:pPr>
      <w:r>
        <w:rPr>
          <w:rStyle w:val="a4"/>
        </w:rPr>
        <w:footnoteRef/>
      </w:r>
      <w:r>
        <w:rPr>
          <w:rtl/>
        </w:rPr>
        <w:t xml:space="preserve"> </w:t>
      </w:r>
      <w:r>
        <w:rPr>
          <w:rFonts w:hint="cs"/>
          <w:rtl/>
        </w:rPr>
        <w:t xml:space="preserve">בג"צ 104/87 </w:t>
      </w:r>
      <w:r>
        <w:rPr>
          <w:rFonts w:hint="cs"/>
          <w:b/>
          <w:bCs/>
          <w:rtl/>
        </w:rPr>
        <w:t xml:space="preserve">נעמי נבו נ' ביה"ד הארצי לעבודה, </w:t>
      </w:r>
      <w:r>
        <w:rPr>
          <w:rFonts w:hint="cs"/>
          <w:rtl/>
        </w:rPr>
        <w:t xml:space="preserve">פד מד(4) 749 (להלן: בג"צ נבו); וכן ראה דברי השופטת דורנר בבג"צ </w:t>
      </w:r>
      <w:r w:rsidRPr="006D5C66">
        <w:rPr>
          <w:rFonts w:hint="cs"/>
          <w:rtl/>
        </w:rPr>
        <w:t>דנילוביץ'</w:t>
      </w:r>
      <w:r>
        <w:rPr>
          <w:rFonts w:hint="cs"/>
          <w:rtl/>
        </w:rPr>
        <w:t>.</w:t>
      </w:r>
    </w:p>
  </w:footnote>
  <w:footnote w:id="27">
    <w:p w:rsidR="00FF6F5F" w:rsidRDefault="00FF6F5F" w:rsidP="00B655C8">
      <w:pPr>
        <w:pStyle w:val="a5"/>
        <w:rPr>
          <w:rFonts w:hint="cs"/>
          <w:rtl/>
        </w:rPr>
      </w:pPr>
      <w:r>
        <w:rPr>
          <w:rStyle w:val="a4"/>
        </w:rPr>
        <w:footnoteRef/>
      </w:r>
      <w:r>
        <w:rPr>
          <w:rtl/>
        </w:rPr>
        <w:t xml:space="preserve"> </w:t>
      </w:r>
      <w:r>
        <w:rPr>
          <w:rFonts w:hint="cs"/>
          <w:rtl/>
        </w:rPr>
        <w:t>ברק, פרשנות חוקתית, עמוד 690.</w:t>
      </w:r>
    </w:p>
  </w:footnote>
  <w:footnote w:id="28">
    <w:p w:rsidR="00FF6F5F" w:rsidRDefault="00FF6F5F" w:rsidP="00B655C8">
      <w:pPr>
        <w:pStyle w:val="a5"/>
        <w:rPr>
          <w:rFonts w:hint="cs"/>
          <w:rtl/>
        </w:rPr>
      </w:pPr>
      <w:r>
        <w:rPr>
          <w:rStyle w:val="a4"/>
        </w:rPr>
        <w:footnoteRef/>
      </w:r>
      <w:r>
        <w:rPr>
          <w:rtl/>
        </w:rPr>
        <w:t xml:space="preserve"> </w:t>
      </w:r>
      <w:r>
        <w:rPr>
          <w:rFonts w:hint="cs"/>
          <w:rtl/>
        </w:rPr>
        <w:t>בג"צ הופרט, עמוד 362.</w:t>
      </w:r>
    </w:p>
  </w:footnote>
  <w:footnote w:id="29">
    <w:p w:rsidR="00FF6F5F" w:rsidRPr="009012CB" w:rsidRDefault="00FF6F5F" w:rsidP="00B655C8">
      <w:pPr>
        <w:pStyle w:val="a5"/>
        <w:rPr>
          <w:rFonts w:hint="cs"/>
        </w:rPr>
      </w:pPr>
      <w:r>
        <w:rPr>
          <w:rStyle w:val="a4"/>
        </w:rPr>
        <w:footnoteRef/>
      </w:r>
      <w:r>
        <w:rPr>
          <w:rtl/>
        </w:rPr>
        <w:t xml:space="preserve"> </w:t>
      </w:r>
      <w:r>
        <w:rPr>
          <w:rFonts w:hint="cs"/>
          <w:rtl/>
        </w:rPr>
        <w:t xml:space="preserve">בג"צ 301/63 </w:t>
      </w:r>
      <w:r>
        <w:rPr>
          <w:rFonts w:hint="cs"/>
          <w:b/>
          <w:bCs/>
          <w:rtl/>
        </w:rPr>
        <w:t>מרים שטרייט נ' הרב הראשי לישראל ואח',</w:t>
      </w:r>
      <w:r>
        <w:rPr>
          <w:rFonts w:hint="cs"/>
          <w:rtl/>
        </w:rPr>
        <w:t xml:space="preserve"> פ"ד יח(1) 598, דברי השופט ח' כהן, עמ' 612.</w:t>
      </w:r>
    </w:p>
  </w:footnote>
  <w:footnote w:id="30">
    <w:p w:rsidR="00FF6F5F" w:rsidRDefault="00FF6F5F">
      <w:pPr>
        <w:pStyle w:val="a5"/>
        <w:rPr>
          <w:rFonts w:hint="cs"/>
          <w:rtl/>
        </w:rPr>
      </w:pPr>
      <w:r>
        <w:rPr>
          <w:rStyle w:val="a4"/>
        </w:rPr>
        <w:footnoteRef/>
      </w:r>
      <w:r>
        <w:rPr>
          <w:rtl/>
        </w:rPr>
        <w:t xml:space="preserve"> </w:t>
      </w:r>
      <w:r>
        <w:rPr>
          <w:rFonts w:hint="cs"/>
          <w:rtl/>
        </w:rPr>
        <w:t xml:space="preserve">פרשת חזין לעיל, ה"ש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Ref143578989 \h</w:instrText>
      </w:r>
      <w:r>
        <w:rPr>
          <w:rtl/>
        </w:rPr>
        <w:instrText xml:space="preserve"> </w:instrText>
      </w:r>
      <w:r>
        <w:rPr>
          <w:rtl/>
        </w:rPr>
        <w:fldChar w:fldCharType="separate"/>
      </w:r>
      <w:r>
        <w:rPr>
          <w:rtl/>
        </w:rPr>
        <w:t>32</w:t>
      </w:r>
      <w:r>
        <w:rPr>
          <w:rtl/>
        </w:rPr>
        <w:fldChar w:fldCharType="end"/>
      </w:r>
      <w:r>
        <w:rPr>
          <w:rFonts w:hint="cs"/>
          <w:rtl/>
        </w:rPr>
        <w:t>.</w:t>
      </w:r>
    </w:p>
  </w:footnote>
  <w:footnote w:id="31">
    <w:p w:rsidR="00FF6F5F" w:rsidRPr="003F602D" w:rsidRDefault="00FF6F5F" w:rsidP="00B655C8">
      <w:pPr>
        <w:pStyle w:val="a5"/>
        <w:rPr>
          <w:rFonts w:hint="cs"/>
          <w:rtl/>
        </w:rPr>
      </w:pPr>
      <w:r>
        <w:rPr>
          <w:rStyle w:val="a4"/>
        </w:rPr>
        <w:footnoteRef/>
      </w:r>
      <w:r>
        <w:rPr>
          <w:rtl/>
        </w:rPr>
        <w:t xml:space="preserve"> </w:t>
      </w:r>
      <w:r>
        <w:rPr>
          <w:rFonts w:hint="cs"/>
          <w:b/>
          <w:bCs/>
          <w:rtl/>
        </w:rPr>
        <w:t>כתבי אמנה 288,</w:t>
      </w:r>
      <w:r>
        <w:rPr>
          <w:rFonts w:hint="cs"/>
          <w:rtl/>
        </w:rPr>
        <w:t xml:space="preserve"> כרך 10, עמוד 27.</w:t>
      </w:r>
    </w:p>
  </w:footnote>
  <w:footnote w:id="32">
    <w:p w:rsidR="00FF6F5F" w:rsidRDefault="00FF6F5F" w:rsidP="00B655C8">
      <w:pPr>
        <w:pStyle w:val="a5"/>
        <w:rPr>
          <w:rFonts w:hint="cs"/>
          <w:rtl/>
        </w:rPr>
      </w:pPr>
      <w:r>
        <w:rPr>
          <w:rStyle w:val="a4"/>
        </w:rPr>
        <w:footnoteRef/>
      </w:r>
      <w:r>
        <w:rPr>
          <w:rtl/>
        </w:rPr>
        <w:t xml:space="preserve"> </w:t>
      </w:r>
      <w:r>
        <w:rPr>
          <w:rFonts w:hint="cs"/>
          <w:rtl/>
        </w:rPr>
        <w:t>ראה בג"צ נבו וכן ראה פרשת חזין.</w:t>
      </w:r>
    </w:p>
  </w:footnote>
  <w:footnote w:id="33">
    <w:p w:rsidR="00FF6F5F" w:rsidRPr="0027348D" w:rsidRDefault="00FF6F5F" w:rsidP="00B655C8">
      <w:pPr>
        <w:pStyle w:val="a5"/>
        <w:rPr>
          <w:rFonts w:hint="cs"/>
          <w:rtl/>
        </w:rPr>
      </w:pPr>
      <w:r>
        <w:rPr>
          <w:rStyle w:val="a4"/>
        </w:rPr>
        <w:footnoteRef/>
      </w:r>
      <w:r>
        <w:rPr>
          <w:rtl/>
        </w:rPr>
        <w:t xml:space="preserve"> </w:t>
      </w:r>
      <w:r>
        <w:rPr>
          <w:rFonts w:hint="cs"/>
          <w:rtl/>
        </w:rPr>
        <w:t xml:space="preserve">מ' גולדברג, "'חופש החוזים' והגבלתו בהסכם עבודה קיבוצי ובחוזה עבודה אישי", </w:t>
      </w:r>
      <w:r>
        <w:rPr>
          <w:rFonts w:hint="cs"/>
          <w:b/>
          <w:bCs/>
          <w:rtl/>
        </w:rPr>
        <w:t>המשפט</w:t>
      </w:r>
      <w:r>
        <w:rPr>
          <w:rFonts w:hint="cs"/>
          <w:rtl/>
        </w:rPr>
        <w:t xml:space="preserve"> (תשנ"ד) 177.</w:t>
      </w:r>
    </w:p>
  </w:footnote>
  <w:footnote w:id="34">
    <w:p w:rsidR="00FF6F5F" w:rsidRPr="00DC2581" w:rsidRDefault="00FF6F5F" w:rsidP="00B655C8">
      <w:pPr>
        <w:pStyle w:val="a5"/>
        <w:rPr>
          <w:rFonts w:hint="cs"/>
          <w:rtl/>
        </w:rPr>
      </w:pPr>
      <w:r>
        <w:rPr>
          <w:rStyle w:val="a4"/>
        </w:rPr>
        <w:footnoteRef/>
      </w:r>
      <w:r>
        <w:rPr>
          <w:rtl/>
        </w:rPr>
        <w:t xml:space="preserve"> </w:t>
      </w:r>
      <w:r>
        <w:rPr>
          <w:rFonts w:hint="cs"/>
          <w:rtl/>
        </w:rPr>
        <w:t xml:space="preserve">בג"צ 1683/93 </w:t>
      </w:r>
      <w:r>
        <w:rPr>
          <w:rFonts w:hint="cs"/>
          <w:b/>
          <w:bCs/>
          <w:rtl/>
        </w:rPr>
        <w:t xml:space="preserve">יבין פלסט בע"מ ואח' נ' בית הדין לעבודה ואח', </w:t>
      </w:r>
      <w:r>
        <w:rPr>
          <w:rFonts w:hint="cs"/>
          <w:rtl/>
        </w:rPr>
        <w:t>פ"ד מז(4) 702.</w:t>
      </w:r>
    </w:p>
  </w:footnote>
  <w:footnote w:id="35">
    <w:p w:rsidR="00FF6F5F" w:rsidRDefault="00FF6F5F" w:rsidP="00B655C8">
      <w:pPr>
        <w:pStyle w:val="a5"/>
        <w:rPr>
          <w:rFonts w:hint="cs"/>
          <w:rtl/>
        </w:rPr>
      </w:pPr>
      <w:r>
        <w:rPr>
          <w:rStyle w:val="a4"/>
        </w:rPr>
        <w:footnoteRef/>
      </w:r>
      <w:r>
        <w:rPr>
          <w:rtl/>
        </w:rPr>
        <w:t xml:space="preserve"> </w:t>
      </w:r>
      <w:r>
        <w:rPr>
          <w:rFonts w:hint="cs"/>
          <w:rtl/>
        </w:rPr>
        <w:t>ברק, פרשנות חוקתית, עמוד 220.</w:t>
      </w:r>
    </w:p>
  </w:footnote>
  <w:footnote w:id="36">
    <w:p w:rsidR="00FF6F5F" w:rsidRDefault="00FF6F5F" w:rsidP="00B655C8">
      <w:pPr>
        <w:pStyle w:val="a5"/>
        <w:rPr>
          <w:rFonts w:hint="cs"/>
          <w:rtl/>
        </w:rPr>
      </w:pPr>
      <w:r>
        <w:rPr>
          <w:rStyle w:val="a4"/>
        </w:rPr>
        <w:footnoteRef/>
      </w:r>
      <w:r>
        <w:rPr>
          <w:rtl/>
        </w:rPr>
        <w:t xml:space="preserve"> </w:t>
      </w:r>
      <w:r>
        <w:rPr>
          <w:rFonts w:hint="cs"/>
          <w:rtl/>
        </w:rPr>
        <w:t>שם, עמוד 520.</w:t>
      </w:r>
    </w:p>
  </w:footnote>
  <w:footnote w:id="37">
    <w:p w:rsidR="00FF6F5F" w:rsidRDefault="00FF6F5F" w:rsidP="00B655C8">
      <w:pPr>
        <w:pStyle w:val="a5"/>
        <w:rPr>
          <w:rFonts w:hint="cs"/>
          <w:rtl/>
        </w:rPr>
      </w:pPr>
      <w:r>
        <w:rPr>
          <w:rStyle w:val="a4"/>
        </w:rPr>
        <w:footnoteRef/>
      </w:r>
      <w:r>
        <w:rPr>
          <w:rtl/>
        </w:rPr>
        <w:t xml:space="preserve"> </w:t>
      </w:r>
      <w:r>
        <w:rPr>
          <w:rFonts w:hint="cs"/>
          <w:rtl/>
        </w:rPr>
        <w:t>שם, עמודים 467-468.</w:t>
      </w:r>
    </w:p>
  </w:footnote>
  <w:footnote w:id="38">
    <w:p w:rsidR="00FF6F5F" w:rsidRDefault="00FF6F5F" w:rsidP="00B655C8">
      <w:pPr>
        <w:pStyle w:val="a5"/>
        <w:rPr>
          <w:rFonts w:hint="cs"/>
        </w:rPr>
      </w:pPr>
      <w:r>
        <w:rPr>
          <w:rStyle w:val="a4"/>
        </w:rPr>
        <w:footnoteRef/>
      </w:r>
      <w:r>
        <w:rPr>
          <w:rtl/>
        </w:rPr>
        <w:t xml:space="preserve"> </w:t>
      </w:r>
      <w:r>
        <w:rPr>
          <w:rFonts w:hint="cs"/>
          <w:rtl/>
        </w:rPr>
        <w:t>ס"ח התשנ"ה, 95.</w:t>
      </w:r>
    </w:p>
  </w:footnote>
  <w:footnote w:id="39">
    <w:p w:rsidR="00FF6F5F" w:rsidRDefault="00FF6F5F" w:rsidP="00B655C8">
      <w:pPr>
        <w:pStyle w:val="a5"/>
        <w:rPr>
          <w:rFonts w:hint="cs"/>
          <w:rtl/>
        </w:rPr>
      </w:pPr>
      <w:r>
        <w:rPr>
          <w:rStyle w:val="a4"/>
        </w:rPr>
        <w:footnoteRef/>
      </w:r>
      <w:r>
        <w:rPr>
          <w:rtl/>
        </w:rPr>
        <w:t xml:space="preserve"> </w:t>
      </w:r>
      <w:r>
        <w:rPr>
          <w:rFonts w:hint="cs"/>
          <w:rtl/>
        </w:rPr>
        <w:t>ס"ח התשנ"ו, 230. (להלן: חוק שכר שווה לעובדת ולעובד)</w:t>
      </w:r>
    </w:p>
  </w:footnote>
  <w:footnote w:id="40">
    <w:p w:rsidR="00FF6F5F" w:rsidRDefault="00FF6F5F" w:rsidP="006A7134">
      <w:pPr>
        <w:pStyle w:val="a5"/>
        <w:rPr>
          <w:rFonts w:hint="cs"/>
        </w:rPr>
      </w:pPr>
      <w:r>
        <w:rPr>
          <w:rStyle w:val="a4"/>
        </w:rPr>
        <w:footnoteRef/>
      </w:r>
      <w:r>
        <w:rPr>
          <w:rtl/>
        </w:rPr>
        <w:t xml:space="preserve"> </w:t>
      </w:r>
      <w:r>
        <w:rPr>
          <w:rFonts w:hint="cs"/>
          <w:rtl/>
        </w:rPr>
        <w:t>הממונה על השכר, אשר הגיש דו"ח זה, מדגיש כי חלק נכבד מהפער בהחזרי הוצאות לנשים לעומת גברים "נובע משיבוץ בדרגות השונות בדירוג (גברים בד"כ מועסקים בדרגות גבוהות יותר) ומתפקידי העובדים (נשים בדירוג זה מועסקות בד"כ בתפקידי מזכירות)".</w:t>
      </w:r>
    </w:p>
  </w:footnote>
  <w:footnote w:id="41">
    <w:p w:rsidR="00FF6F5F" w:rsidRDefault="00FF6F5F" w:rsidP="00B655C8">
      <w:pPr>
        <w:pStyle w:val="a5"/>
        <w:rPr>
          <w:rFonts w:hint="cs"/>
          <w:rtl/>
        </w:rPr>
      </w:pPr>
      <w:r>
        <w:rPr>
          <w:rStyle w:val="a4"/>
        </w:rPr>
        <w:footnoteRef/>
      </w:r>
      <w:r>
        <w:rPr>
          <w:rtl/>
        </w:rPr>
        <w:t xml:space="preserve"> </w:t>
      </w:r>
      <w:r>
        <w:rPr>
          <w:rFonts w:hint="cs"/>
          <w:rtl/>
        </w:rPr>
        <w:t xml:space="preserve">בפסק דין </w:t>
      </w:r>
      <w:r>
        <w:rPr>
          <w:rFonts w:hint="cs"/>
        </w:rPr>
        <w:t>H</w:t>
      </w:r>
      <w:r>
        <w:t>andels-og Kontorfunktionaerernes Forbund i Danmark v. Dansk Arbejdsgiverforening [1989] IRLR 532 (ECJ)</w:t>
      </w:r>
      <w:r>
        <w:rPr>
          <w:rFonts w:hint="cs"/>
          <w:rtl/>
        </w:rPr>
        <w:t xml:space="preserve"> נקבע כי העובדה שמעביד נותן תוספת שכר עקב שעות עבודה ומקומות עבודה לא סדירים יכולה להיות מוצדקת אם השעות והמקומות מתחייבים כדי לבצע את העבודה, וזאת למרות שנשים נפגעות בנסיבות אלו. הנשים נפגעות מכך מאחר שלא יוכלו להנות מתוספת זו בשל האחריות המשפחתית המוטלת בפועל על כתפיהן, אשר בגינה לא יוכלו לעבוד שעות נוספות או במקומות לא סדירים.</w:t>
      </w:r>
    </w:p>
  </w:footnote>
  <w:footnote w:id="42">
    <w:p w:rsidR="00FF6F5F" w:rsidRPr="00711961" w:rsidRDefault="00FF6F5F">
      <w:pPr>
        <w:pStyle w:val="a5"/>
        <w:rPr>
          <w:rtl/>
        </w:rPr>
      </w:pPr>
      <w:r>
        <w:rPr>
          <w:rStyle w:val="a4"/>
        </w:rPr>
        <w:footnoteRef/>
      </w:r>
      <w:r>
        <w:rPr>
          <w:rtl/>
        </w:rPr>
        <w:t xml:space="preserve"> </w:t>
      </w:r>
      <w:r w:rsidRPr="00711961">
        <w:rPr>
          <w:rtl/>
        </w:rPr>
        <w:t>ס"ח תשנ"ח, 252</w:t>
      </w:r>
    </w:p>
  </w:footnote>
  <w:footnote w:id="43">
    <w:p w:rsidR="00FF6F5F" w:rsidRDefault="00FF6F5F" w:rsidP="00183DAF">
      <w:pPr>
        <w:pStyle w:val="a5"/>
        <w:rPr>
          <w:rFonts w:hint="cs"/>
        </w:rPr>
      </w:pPr>
      <w:r>
        <w:rPr>
          <w:rStyle w:val="a4"/>
        </w:rPr>
        <w:footnoteRef/>
      </w:r>
      <w:r>
        <w:rPr>
          <w:rtl/>
        </w:rPr>
        <w:t xml:space="preserve"> </w:t>
      </w:r>
      <w:r>
        <w:rPr>
          <w:rFonts w:hint="cs"/>
          <w:rtl/>
        </w:rPr>
        <w:t>פקודת מס הכנסה [נוסח חדש].</w:t>
      </w:r>
    </w:p>
  </w:footnote>
  <w:footnote w:id="44">
    <w:p w:rsidR="00FF6F5F" w:rsidRPr="00893C51" w:rsidRDefault="00FF6F5F" w:rsidP="00183DAF">
      <w:pPr>
        <w:pStyle w:val="a5"/>
        <w:rPr>
          <w:rFonts w:hint="cs"/>
        </w:rPr>
      </w:pPr>
      <w:r>
        <w:rPr>
          <w:rStyle w:val="a4"/>
        </w:rPr>
        <w:footnoteRef/>
      </w:r>
      <w:r>
        <w:rPr>
          <w:rtl/>
        </w:rPr>
        <w:t xml:space="preserve"> </w:t>
      </w:r>
      <w:r>
        <w:rPr>
          <w:rFonts w:hint="cs"/>
          <w:rtl/>
        </w:rPr>
        <w:t xml:space="preserve">י' גרוס, </w:t>
      </w:r>
      <w:r>
        <w:rPr>
          <w:rFonts w:hint="cs"/>
          <w:b/>
          <w:bCs/>
          <w:rtl/>
        </w:rPr>
        <w:t xml:space="preserve">דיני המס החדשים </w:t>
      </w:r>
      <w:r>
        <w:rPr>
          <w:rFonts w:hint="cs"/>
          <w:rtl/>
        </w:rPr>
        <w:t>(מהדורה שלישית, 2003) 106.</w:t>
      </w:r>
    </w:p>
  </w:footnote>
  <w:footnote w:id="45">
    <w:p w:rsidR="00FF6F5F" w:rsidRDefault="00FF6F5F" w:rsidP="00183DAF">
      <w:pPr>
        <w:pStyle w:val="a5"/>
        <w:rPr>
          <w:rFonts w:hint="cs"/>
        </w:rPr>
      </w:pPr>
      <w:r>
        <w:rPr>
          <w:rStyle w:val="a4"/>
        </w:rPr>
        <w:footnoteRef/>
      </w:r>
      <w:r>
        <w:rPr>
          <w:rtl/>
        </w:rPr>
        <w:t xml:space="preserve"> </w:t>
      </w:r>
      <w:r>
        <w:rPr>
          <w:rFonts w:hint="cs"/>
          <w:rtl/>
        </w:rPr>
        <w:t>חוק לתיקון פקודת מס הכנסה (מס' 22), התשל"ה-1975, ס"ח תשל"ה 168.</w:t>
      </w:r>
    </w:p>
  </w:footnote>
  <w:footnote w:id="46">
    <w:p w:rsidR="00FF6F5F" w:rsidRDefault="00FF6F5F" w:rsidP="00183DAF">
      <w:pPr>
        <w:pStyle w:val="a5"/>
        <w:rPr>
          <w:rFonts w:hint="cs"/>
          <w:rtl/>
        </w:rPr>
      </w:pPr>
      <w:r>
        <w:rPr>
          <w:rStyle w:val="a4"/>
        </w:rPr>
        <w:footnoteRef/>
      </w:r>
      <w:r>
        <w:rPr>
          <w:rtl/>
        </w:rPr>
        <w:t xml:space="preserve"> </w:t>
      </w:r>
      <w:r>
        <w:rPr>
          <w:rFonts w:hint="cs"/>
          <w:rtl/>
        </w:rPr>
        <w:t xml:space="preserve">ראו לדוגמא: ע"א 5378/90 </w:t>
      </w:r>
      <w:r w:rsidRPr="00641CEF">
        <w:rPr>
          <w:rFonts w:hint="cs"/>
          <w:b/>
          <w:bCs/>
          <w:rtl/>
        </w:rPr>
        <w:t>התאגדות לתרבות גופנית, הפועל טבריה נ' פ"ש טבריה</w:t>
      </w:r>
      <w:r>
        <w:rPr>
          <w:rFonts w:hint="cs"/>
          <w:rtl/>
        </w:rPr>
        <w:t>, פ"ד מח(2) 416.</w:t>
      </w:r>
    </w:p>
    <w:p w:rsidR="00FF6F5F" w:rsidRPr="00972520" w:rsidRDefault="00FF6F5F" w:rsidP="00183DAF">
      <w:pPr>
        <w:pStyle w:val="a5"/>
        <w:rPr>
          <w:rFonts w:hint="cs"/>
          <w:rtl/>
        </w:rPr>
      </w:pPr>
      <w:r>
        <w:rPr>
          <w:rFonts w:hint="cs"/>
          <w:rtl/>
        </w:rPr>
        <w:t xml:space="preserve">  וכן- עמ"ה (חי') 134/92 </w:t>
      </w:r>
      <w:r>
        <w:rPr>
          <w:rFonts w:hint="cs"/>
          <w:b/>
          <w:bCs/>
          <w:rtl/>
        </w:rPr>
        <w:t xml:space="preserve">מחאג'נה יוסף נ' פ"ש חדרה, מיסים </w:t>
      </w:r>
      <w:r>
        <w:rPr>
          <w:rFonts w:hint="cs"/>
          <w:rtl/>
        </w:rPr>
        <w:t>ט/3 ה-15.</w:t>
      </w:r>
    </w:p>
  </w:footnote>
  <w:footnote w:id="47">
    <w:p w:rsidR="00FF6F5F" w:rsidRDefault="00FF6F5F" w:rsidP="00183DAF">
      <w:pPr>
        <w:pStyle w:val="a5"/>
        <w:rPr>
          <w:rFonts w:hint="cs"/>
          <w:rtl/>
        </w:rPr>
      </w:pPr>
      <w:r>
        <w:rPr>
          <w:rStyle w:val="a4"/>
        </w:rPr>
        <w:footnoteRef/>
      </w:r>
      <w:r>
        <w:rPr>
          <w:rtl/>
        </w:rPr>
        <w:t xml:space="preserve"> </w:t>
      </w:r>
      <w:r>
        <w:rPr>
          <w:rFonts w:hint="cs"/>
          <w:rtl/>
        </w:rPr>
        <w:t xml:space="preserve">ע"א 545/59 </w:t>
      </w:r>
      <w:r>
        <w:rPr>
          <w:rFonts w:hint="cs"/>
          <w:b/>
          <w:bCs/>
          <w:rtl/>
        </w:rPr>
        <w:t xml:space="preserve">דן אגודה שיתופית בע"מ נ' פיש ת"א, </w:t>
      </w:r>
      <w:r>
        <w:rPr>
          <w:rFonts w:hint="cs"/>
          <w:rtl/>
        </w:rPr>
        <w:t>פ"ד יד(3) 2088.</w:t>
      </w:r>
    </w:p>
    <w:p w:rsidR="00FF6F5F" w:rsidRPr="005B7FBE" w:rsidRDefault="00FF6F5F" w:rsidP="00183DAF">
      <w:pPr>
        <w:pStyle w:val="a5"/>
        <w:rPr>
          <w:rFonts w:hint="cs"/>
          <w:rtl/>
        </w:rPr>
      </w:pPr>
      <w:r>
        <w:rPr>
          <w:rFonts w:hint="cs"/>
          <w:rtl/>
        </w:rPr>
        <w:t xml:space="preserve">  עמ"ה (חי') 20/76 </w:t>
      </w:r>
      <w:r>
        <w:rPr>
          <w:rFonts w:hint="cs"/>
          <w:b/>
          <w:bCs/>
          <w:rtl/>
        </w:rPr>
        <w:t xml:space="preserve">רזניק נ' פ"ש חיפה, </w:t>
      </w:r>
      <w:r>
        <w:rPr>
          <w:rFonts w:hint="cs"/>
          <w:rtl/>
        </w:rPr>
        <w:t>פד"א ח 473.</w:t>
      </w:r>
    </w:p>
  </w:footnote>
  <w:footnote w:id="48">
    <w:p w:rsidR="00FF6F5F" w:rsidRDefault="00FF6F5F" w:rsidP="00183DAF">
      <w:pPr>
        <w:pStyle w:val="a5"/>
        <w:rPr>
          <w:rFonts w:hint="cs"/>
          <w:rtl/>
        </w:rPr>
      </w:pPr>
      <w:r>
        <w:rPr>
          <w:rStyle w:val="a4"/>
        </w:rPr>
        <w:footnoteRef/>
      </w:r>
      <w:r>
        <w:rPr>
          <w:rtl/>
        </w:rPr>
        <w:t xml:space="preserve"> </w:t>
      </w:r>
      <w:r>
        <w:rPr>
          <w:rFonts w:hint="cs"/>
          <w:rtl/>
        </w:rPr>
        <w:t xml:space="preserve">טענה זו דורשת כמובן עיגון בנתונים אמפיריים שאין בידינו בשלב זה, אולם היא נראית כטענה מסתברת. </w:t>
      </w:r>
    </w:p>
  </w:footnote>
  <w:footnote w:id="49">
    <w:p w:rsidR="00FF6F5F" w:rsidRPr="00DE272D" w:rsidRDefault="00FF6F5F" w:rsidP="00183DAF">
      <w:pPr>
        <w:pStyle w:val="a5"/>
        <w:rPr>
          <w:rFonts w:hint="cs"/>
          <w:rtl/>
        </w:rPr>
      </w:pPr>
      <w:r>
        <w:rPr>
          <w:rStyle w:val="a4"/>
        </w:rPr>
        <w:footnoteRef/>
      </w:r>
      <w:r>
        <w:rPr>
          <w:rtl/>
        </w:rPr>
        <w:t xml:space="preserve"> </w:t>
      </w:r>
      <w:r>
        <w:rPr>
          <w:rFonts w:hint="cs"/>
          <w:rtl/>
        </w:rPr>
        <w:t xml:space="preserve">א' רפאל </w:t>
      </w:r>
      <w:r>
        <w:rPr>
          <w:rFonts w:hint="cs"/>
          <w:b/>
          <w:bCs/>
          <w:rtl/>
        </w:rPr>
        <w:t xml:space="preserve">מס הכנסה </w:t>
      </w:r>
      <w:r>
        <w:rPr>
          <w:rFonts w:hint="cs"/>
          <w:rtl/>
        </w:rPr>
        <w:t>חלק א' (מהדורה שלישית, תשנ"ד) 81.</w:t>
      </w:r>
    </w:p>
  </w:footnote>
  <w:footnote w:id="50">
    <w:p w:rsidR="00FF6F5F" w:rsidRDefault="00FF6F5F" w:rsidP="00183DAF">
      <w:pPr>
        <w:pStyle w:val="a5"/>
        <w:rPr>
          <w:rFonts w:hint="cs"/>
        </w:rPr>
      </w:pPr>
      <w:r>
        <w:rPr>
          <w:rStyle w:val="a4"/>
        </w:rPr>
        <w:footnoteRef/>
      </w:r>
      <w:r>
        <w:rPr>
          <w:rtl/>
        </w:rPr>
        <w:t xml:space="preserve"> </w:t>
      </w:r>
      <w:r>
        <w:rPr>
          <w:rFonts w:hint="cs"/>
          <w:rtl/>
        </w:rPr>
        <w:t>תקנות מס הכנסה (ניכוי הוצאות רכב), התשנ"ה-1995, ק"ת586.</w:t>
      </w:r>
    </w:p>
  </w:footnote>
  <w:footnote w:id="51">
    <w:p w:rsidR="00FF6F5F" w:rsidRDefault="00FF6F5F" w:rsidP="00F5197D">
      <w:pPr>
        <w:pStyle w:val="a5"/>
        <w:rPr>
          <w:rFonts w:hint="cs"/>
          <w:rtl/>
        </w:rPr>
      </w:pPr>
      <w:r>
        <w:rPr>
          <w:rStyle w:val="a4"/>
        </w:rPr>
        <w:footnoteRef/>
      </w:r>
      <w:r>
        <w:rPr>
          <w:rtl/>
        </w:rPr>
        <w:t xml:space="preserve"> </w:t>
      </w:r>
      <w:r>
        <w:rPr>
          <w:rFonts w:hint="cs"/>
          <w:rtl/>
        </w:rPr>
        <w:t>יש לשקול פניה ל</w:t>
      </w:r>
      <w:r w:rsidRPr="00F5197D">
        <w:rPr>
          <w:rFonts w:hint="cs"/>
          <w:b/>
          <w:bCs/>
          <w:rtl/>
        </w:rPr>
        <w:t>ממונה על השכר</w:t>
      </w:r>
      <w:r>
        <w:rPr>
          <w:rFonts w:hint="cs"/>
          <w:rtl/>
        </w:rPr>
        <w:t>, היושב באגף במשרד האוצר המקביל לחשב הכללי, ונקרא 'אגף השכר והסכמי עבודה'. זאת, כיוון שהשינוי המבוקש כרוך בשינוי שכר העובדים, דהיינו ביצוע שינוי בהסכמי השכר. לאור העובדה כי הנחיות החשב הכללי מעוגנות בהסכמי השכר, הרי שלממונה על השכר תפקיד מרכזי בסוגיה זו.</w:t>
      </w:r>
    </w:p>
  </w:footnote>
  <w:footnote w:id="52">
    <w:p w:rsidR="00FF6F5F" w:rsidRDefault="00FF6F5F" w:rsidP="00C350B9">
      <w:pPr>
        <w:pStyle w:val="a5"/>
        <w:rPr>
          <w:rFonts w:hint="cs"/>
          <w:sz w:val="28"/>
          <w:szCs w:val="28"/>
          <w:rtl/>
        </w:rPr>
      </w:pPr>
      <w:r>
        <w:rPr>
          <w:rStyle w:val="a4"/>
        </w:rPr>
        <w:footnoteRef/>
      </w:r>
      <w:r>
        <w:t xml:space="preserve"> </w:t>
      </w:r>
      <w:r>
        <w:rPr>
          <w:rtl/>
        </w:rPr>
        <w:t xml:space="preserve"> </w:t>
      </w:r>
      <w:r>
        <w:rPr>
          <w:rFonts w:hint="cs"/>
          <w:rtl/>
        </w:rPr>
        <w:t xml:space="preserve">ר הר זהב, </w:t>
      </w:r>
      <w:r>
        <w:rPr>
          <w:rFonts w:hint="cs"/>
          <w:b/>
          <w:bCs/>
          <w:rtl/>
        </w:rPr>
        <w:t>לעיל</w:t>
      </w:r>
      <w:r>
        <w:rPr>
          <w:rFonts w:hint="cs"/>
          <w:rtl/>
        </w:rPr>
        <w:t xml:space="preserve"> הע"ש 2, עמ' 138-139.</w:t>
      </w:r>
    </w:p>
  </w:footnote>
  <w:footnote w:id="53">
    <w:p w:rsidR="00FF6F5F" w:rsidRDefault="00FF6F5F" w:rsidP="00C350B9">
      <w:pPr>
        <w:pStyle w:val="a5"/>
        <w:rPr>
          <w:rFonts w:hint="cs"/>
          <w:rtl/>
        </w:rPr>
      </w:pPr>
      <w:r>
        <w:rPr>
          <w:rStyle w:val="a4"/>
        </w:rPr>
        <w:footnoteRef/>
      </w:r>
      <w:r>
        <w:t xml:space="preserve"> </w:t>
      </w:r>
      <w:r>
        <w:rPr>
          <w:rtl/>
        </w:rPr>
        <w:t xml:space="preserve"> </w:t>
      </w:r>
      <w:r>
        <w:rPr>
          <w:rFonts w:hint="eastAsia"/>
          <w:rtl/>
        </w:rPr>
        <w:t>בג</w:t>
      </w:r>
      <w:r>
        <w:rPr>
          <w:rtl/>
        </w:rPr>
        <w:t>"</w:t>
      </w:r>
      <w:r>
        <w:rPr>
          <w:rFonts w:hint="eastAsia"/>
          <w:rtl/>
        </w:rPr>
        <w:t>צ</w:t>
      </w:r>
      <w:r>
        <w:rPr>
          <w:rtl/>
        </w:rPr>
        <w:t xml:space="preserve"> 389/</w:t>
      </w:r>
      <w:r>
        <w:rPr>
          <w:b/>
          <w:bCs/>
          <w:rtl/>
        </w:rPr>
        <w:t>80  דפי זהב בע"</w:t>
      </w:r>
      <w:r>
        <w:rPr>
          <w:rFonts w:hint="eastAsia"/>
          <w:b/>
          <w:bCs/>
          <w:rtl/>
        </w:rPr>
        <w:t>מ</w:t>
      </w:r>
      <w:r>
        <w:rPr>
          <w:b/>
          <w:bCs/>
          <w:rtl/>
        </w:rPr>
        <w:t xml:space="preserve"> נ' רשות השידור ו-3 אח'</w:t>
      </w:r>
      <w:r>
        <w:rPr>
          <w:rFonts w:hint="cs"/>
          <w:rtl/>
        </w:rPr>
        <w:t xml:space="preserve">, </w:t>
      </w:r>
      <w:r>
        <w:rPr>
          <w:rtl/>
        </w:rPr>
        <w:t>פ"</w:t>
      </w:r>
      <w:r>
        <w:rPr>
          <w:rFonts w:hint="eastAsia"/>
          <w:rtl/>
        </w:rPr>
        <w:t>ד</w:t>
      </w:r>
      <w:r>
        <w:rPr>
          <w:rtl/>
        </w:rPr>
        <w:t xml:space="preserve"> לה</w:t>
      </w:r>
      <w:r>
        <w:rPr>
          <w:rFonts w:hint="cs"/>
          <w:rtl/>
        </w:rPr>
        <w:t xml:space="preserve"> </w:t>
      </w:r>
      <w:r>
        <w:rPr>
          <w:rtl/>
        </w:rPr>
        <w:t>(</w:t>
      </w:r>
      <w:r>
        <w:rPr>
          <w:rFonts w:hint="cs"/>
          <w:rtl/>
        </w:rPr>
        <w:t>1</w:t>
      </w:r>
      <w:r>
        <w:rPr>
          <w:rtl/>
        </w:rPr>
        <w:t>) 421 , 434-435</w:t>
      </w:r>
      <w:r>
        <w:rPr>
          <w:rFonts w:hint="cs"/>
          <w:rtl/>
        </w:rPr>
        <w:t>.</w:t>
      </w:r>
    </w:p>
  </w:footnote>
  <w:footnote w:id="54">
    <w:p w:rsidR="00FF6F5F" w:rsidRDefault="00FF6F5F" w:rsidP="00C350B9">
      <w:pPr>
        <w:pStyle w:val="a5"/>
        <w:rPr>
          <w:rFonts w:hint="cs"/>
          <w:rtl/>
        </w:rPr>
      </w:pPr>
      <w:r>
        <w:rPr>
          <w:rStyle w:val="a4"/>
        </w:rPr>
        <w:footnoteRef/>
      </w:r>
      <w:r>
        <w:rPr>
          <w:rtl/>
        </w:rPr>
        <w:t xml:space="preserve"> בג</w:t>
      </w:r>
      <w:r>
        <w:rPr>
          <w:rFonts w:hint="cs"/>
          <w:rtl/>
        </w:rPr>
        <w:t>"</w:t>
      </w:r>
      <w:r>
        <w:rPr>
          <w:rtl/>
        </w:rPr>
        <w:t xml:space="preserve">צ 96 / 5060 </w:t>
      </w:r>
      <w:r w:rsidRPr="00E1481B">
        <w:rPr>
          <w:b/>
          <w:bCs/>
          <w:rtl/>
        </w:rPr>
        <w:t>רס"מ בת שבע קהלני נ' ראש-הממשלה</w:t>
      </w:r>
      <w:r>
        <w:rPr>
          <w:rFonts w:hint="cs"/>
          <w:rtl/>
        </w:rPr>
        <w:t>, פ"ד</w:t>
      </w:r>
      <w:r w:rsidRPr="00E1481B">
        <w:rPr>
          <w:b/>
          <w:bCs/>
          <w:rtl/>
        </w:rPr>
        <w:t xml:space="preserve"> </w:t>
      </w:r>
      <w:r>
        <w:rPr>
          <w:rtl/>
        </w:rPr>
        <w:t>נד (3) 270</w:t>
      </w:r>
      <w:r>
        <w:rPr>
          <w:rFonts w:hint="cs"/>
          <w:rtl/>
        </w:rPr>
        <w:t>.</w:t>
      </w:r>
    </w:p>
  </w:footnote>
  <w:footnote w:id="55">
    <w:p w:rsidR="00FF6F5F" w:rsidRPr="00167DE7" w:rsidRDefault="00FF6F5F" w:rsidP="00C350B9">
      <w:pPr>
        <w:rPr>
          <w:rFonts w:hint="cs"/>
          <w:szCs w:val="20"/>
        </w:rPr>
      </w:pPr>
      <w:r w:rsidRPr="00167DE7">
        <w:rPr>
          <w:rStyle w:val="a4"/>
          <w:szCs w:val="20"/>
        </w:rPr>
        <w:footnoteRef/>
      </w:r>
      <w:r w:rsidRPr="00167DE7">
        <w:rPr>
          <w:szCs w:val="20"/>
          <w:rtl/>
        </w:rPr>
        <w:t xml:space="preserve"> בג</w:t>
      </w:r>
      <w:r>
        <w:rPr>
          <w:rFonts w:hint="cs"/>
          <w:szCs w:val="20"/>
          <w:rtl/>
        </w:rPr>
        <w:t>"</w:t>
      </w:r>
      <w:r w:rsidRPr="00167DE7">
        <w:rPr>
          <w:szCs w:val="20"/>
          <w:rtl/>
        </w:rPr>
        <w:t xml:space="preserve">צ 82 / 198 </w:t>
      </w:r>
      <w:r w:rsidRPr="00167DE7">
        <w:rPr>
          <w:b/>
          <w:bCs/>
          <w:szCs w:val="20"/>
          <w:rtl/>
        </w:rPr>
        <w:t>בן ציון מוניץ נ' בנק ישראל</w:t>
      </w:r>
      <w:r>
        <w:rPr>
          <w:rFonts w:hint="cs"/>
          <w:b/>
          <w:bCs/>
          <w:szCs w:val="20"/>
          <w:rtl/>
        </w:rPr>
        <w:t xml:space="preserve">, </w:t>
      </w:r>
      <w:r>
        <w:rPr>
          <w:rFonts w:hint="cs"/>
          <w:szCs w:val="20"/>
          <w:rtl/>
        </w:rPr>
        <w:t>פ"ד</w:t>
      </w:r>
      <w:r w:rsidRPr="00167DE7">
        <w:rPr>
          <w:b/>
          <w:bCs/>
          <w:szCs w:val="20"/>
          <w:rtl/>
        </w:rPr>
        <w:t xml:space="preserve"> </w:t>
      </w:r>
      <w:r w:rsidRPr="00F204B7">
        <w:rPr>
          <w:szCs w:val="20"/>
          <w:rtl/>
        </w:rPr>
        <w:t>לו</w:t>
      </w:r>
      <w:r>
        <w:rPr>
          <w:szCs w:val="20"/>
          <w:rtl/>
        </w:rPr>
        <w:t xml:space="preserve"> (3)</w:t>
      </w:r>
      <w:r>
        <w:rPr>
          <w:rFonts w:hint="cs"/>
          <w:szCs w:val="20"/>
          <w:rtl/>
        </w:rPr>
        <w:t>,</w:t>
      </w:r>
      <w:r>
        <w:rPr>
          <w:szCs w:val="20"/>
          <w:rtl/>
        </w:rPr>
        <w:t xml:space="preserve"> 466</w:t>
      </w:r>
      <w:r>
        <w:rPr>
          <w:rFonts w:hint="cs"/>
          <w:szCs w:val="20"/>
          <w:rtl/>
        </w:rPr>
        <w:t>.</w:t>
      </w:r>
    </w:p>
  </w:footnote>
  <w:footnote w:id="56">
    <w:p w:rsidR="00FF6F5F" w:rsidRDefault="00FF6F5F" w:rsidP="00C350B9">
      <w:pPr>
        <w:pStyle w:val="a5"/>
        <w:rPr>
          <w:rFonts w:hint="cs"/>
          <w:rtl/>
        </w:rPr>
      </w:pPr>
      <w:r>
        <w:rPr>
          <w:rStyle w:val="a4"/>
        </w:rPr>
        <w:footnoteRef/>
      </w:r>
      <w:r>
        <w:rPr>
          <w:rtl/>
        </w:rPr>
        <w:t xml:space="preserve"> </w:t>
      </w:r>
      <w:r>
        <w:rPr>
          <w:rFonts w:hint="cs"/>
          <w:rtl/>
        </w:rPr>
        <w:t xml:space="preserve">חוק בתי משפט לעניינים מנהליים, התש"ס-2000; </w:t>
      </w:r>
    </w:p>
    <w:p w:rsidR="00FF6F5F" w:rsidRDefault="00FF6F5F" w:rsidP="00C350B9">
      <w:pPr>
        <w:pStyle w:val="a5"/>
        <w:rPr>
          <w:rFonts w:hint="cs"/>
        </w:rPr>
      </w:pPr>
      <w:r>
        <w:rPr>
          <w:rFonts w:hint="cs"/>
          <w:rtl/>
        </w:rPr>
        <w:t xml:space="preserve">     וכן ראו סעיף 40 (1א) לחוק בתי המשפט [נוסח משולב], התשמ"ד-1984.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5F" w:rsidRDefault="00FF6F5F">
    <w:pPr>
      <w:pStyle w:val="a7"/>
      <w:framePr w:wrap="around" w:vAnchor="text" w:hAnchor="margin" w:xAlign="center" w:y="1"/>
      <w:jc w:val="right"/>
      <w:rPr>
        <w:rStyle w:val="a8"/>
        <w:rtl/>
      </w:rPr>
    </w:pPr>
    <w:r>
      <w:rPr>
        <w:rStyle w:val="a8"/>
        <w:rtl/>
      </w:rPr>
      <w:fldChar w:fldCharType="begin"/>
    </w:r>
    <w:r>
      <w:rPr>
        <w:rStyle w:val="a8"/>
      </w:rPr>
      <w:instrText xml:space="preserve">PAGE  </w:instrText>
    </w:r>
    <w:r>
      <w:rPr>
        <w:rStyle w:val="a8"/>
        <w:rtl/>
      </w:rPr>
      <w:fldChar w:fldCharType="end"/>
    </w:r>
  </w:p>
  <w:p w:rsidR="00FF6F5F" w:rsidRDefault="00FF6F5F">
    <w:pPr>
      <w:pStyle w:val="a7"/>
      <w:jc w:val="right"/>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5F" w:rsidRDefault="00FF6F5F">
    <w:pPr>
      <w:pStyle w:val="a7"/>
      <w:framePr w:wrap="around" w:vAnchor="text" w:hAnchor="margin" w:xAlign="center" w:y="1"/>
      <w:jc w:val="right"/>
      <w:rPr>
        <w:rStyle w:val="a8"/>
        <w:rtl/>
      </w:rPr>
    </w:pPr>
    <w:r>
      <w:rPr>
        <w:rStyle w:val="a8"/>
        <w:rtl/>
      </w:rPr>
      <w:fldChar w:fldCharType="begin"/>
    </w:r>
    <w:r>
      <w:rPr>
        <w:rStyle w:val="a8"/>
      </w:rPr>
      <w:instrText xml:space="preserve">PAGE  </w:instrText>
    </w:r>
    <w:r>
      <w:rPr>
        <w:rStyle w:val="a8"/>
        <w:rtl/>
      </w:rPr>
      <w:fldChar w:fldCharType="separate"/>
    </w:r>
    <w:r w:rsidR="003D7647">
      <w:rPr>
        <w:rStyle w:val="a8"/>
        <w:noProof/>
        <w:rtl/>
      </w:rPr>
      <w:t>2</w:t>
    </w:r>
    <w:r>
      <w:rPr>
        <w:rStyle w:val="a8"/>
        <w:rtl/>
      </w:rPr>
      <w:fldChar w:fldCharType="end"/>
    </w:r>
  </w:p>
  <w:p w:rsidR="00FF6F5F" w:rsidRDefault="00FF6F5F">
    <w:pPr>
      <w:pStyle w:val="a7"/>
      <w:jc w:val="right"/>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52A5"/>
    <w:multiLevelType w:val="hybridMultilevel"/>
    <w:tmpl w:val="77DA4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181EB4"/>
    <w:multiLevelType w:val="multilevel"/>
    <w:tmpl w:val="52E6A64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35"/>
        </w:tabs>
        <w:ind w:left="735" w:hanging="360"/>
      </w:pPr>
      <w:rPr>
        <w:rFonts w:hint="default"/>
      </w:rPr>
    </w:lvl>
    <w:lvl w:ilvl="2">
      <w:start w:val="1"/>
      <w:numFmt w:val="decimal"/>
      <w:lvlText w:val="%1.%2.%3"/>
      <w:lvlJc w:val="left"/>
      <w:pPr>
        <w:tabs>
          <w:tab w:val="num" w:pos="1470"/>
        </w:tabs>
        <w:ind w:left="1470" w:hanging="720"/>
      </w:pPr>
      <w:rPr>
        <w:rFonts w:hint="default"/>
      </w:rPr>
    </w:lvl>
    <w:lvl w:ilvl="3">
      <w:start w:val="1"/>
      <w:numFmt w:val="decimal"/>
      <w:lvlText w:val="%1.%2.%3.%4"/>
      <w:lvlJc w:val="left"/>
      <w:pPr>
        <w:tabs>
          <w:tab w:val="num" w:pos="2205"/>
        </w:tabs>
        <w:ind w:left="2205" w:hanging="108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425"/>
        </w:tabs>
        <w:ind w:left="4425" w:hanging="1800"/>
      </w:pPr>
      <w:rPr>
        <w:rFonts w:hint="default"/>
      </w:rPr>
    </w:lvl>
    <w:lvl w:ilvl="8">
      <w:start w:val="1"/>
      <w:numFmt w:val="decimal"/>
      <w:lvlText w:val="%1.%2.%3.%4.%5.%6.%7.%8.%9"/>
      <w:lvlJc w:val="left"/>
      <w:pPr>
        <w:tabs>
          <w:tab w:val="num" w:pos="5160"/>
        </w:tabs>
        <w:ind w:left="5160" w:hanging="2160"/>
      </w:pPr>
      <w:rPr>
        <w:rFonts w:hint="default"/>
      </w:rPr>
    </w:lvl>
  </w:abstractNum>
  <w:abstractNum w:abstractNumId="2">
    <w:nsid w:val="14232844"/>
    <w:multiLevelType w:val="hybridMultilevel"/>
    <w:tmpl w:val="F29C1636"/>
    <w:lvl w:ilvl="0" w:tplc="0409000F">
      <w:start w:val="1"/>
      <w:numFmt w:val="decimal"/>
      <w:lvlText w:val="%1."/>
      <w:lvlJc w:val="left"/>
      <w:pPr>
        <w:tabs>
          <w:tab w:val="num" w:pos="2186"/>
        </w:tabs>
        <w:ind w:left="2186" w:hanging="360"/>
      </w:pPr>
    </w:lvl>
    <w:lvl w:ilvl="1" w:tplc="04090019" w:tentative="1">
      <w:start w:val="1"/>
      <w:numFmt w:val="lowerLetter"/>
      <w:lvlText w:val="%2."/>
      <w:lvlJc w:val="left"/>
      <w:pPr>
        <w:tabs>
          <w:tab w:val="num" w:pos="2906"/>
        </w:tabs>
        <w:ind w:left="2906" w:hanging="360"/>
      </w:pPr>
    </w:lvl>
    <w:lvl w:ilvl="2" w:tplc="0409001B" w:tentative="1">
      <w:start w:val="1"/>
      <w:numFmt w:val="lowerRoman"/>
      <w:lvlText w:val="%3."/>
      <w:lvlJc w:val="right"/>
      <w:pPr>
        <w:tabs>
          <w:tab w:val="num" w:pos="3626"/>
        </w:tabs>
        <w:ind w:left="3626" w:hanging="180"/>
      </w:pPr>
    </w:lvl>
    <w:lvl w:ilvl="3" w:tplc="0409000F" w:tentative="1">
      <w:start w:val="1"/>
      <w:numFmt w:val="decimal"/>
      <w:lvlText w:val="%4."/>
      <w:lvlJc w:val="left"/>
      <w:pPr>
        <w:tabs>
          <w:tab w:val="num" w:pos="4346"/>
        </w:tabs>
        <w:ind w:left="4346" w:hanging="360"/>
      </w:pPr>
    </w:lvl>
    <w:lvl w:ilvl="4" w:tplc="04090019" w:tentative="1">
      <w:start w:val="1"/>
      <w:numFmt w:val="lowerLetter"/>
      <w:lvlText w:val="%5."/>
      <w:lvlJc w:val="left"/>
      <w:pPr>
        <w:tabs>
          <w:tab w:val="num" w:pos="5066"/>
        </w:tabs>
        <w:ind w:left="5066" w:hanging="360"/>
      </w:pPr>
    </w:lvl>
    <w:lvl w:ilvl="5" w:tplc="0409001B" w:tentative="1">
      <w:start w:val="1"/>
      <w:numFmt w:val="lowerRoman"/>
      <w:lvlText w:val="%6."/>
      <w:lvlJc w:val="right"/>
      <w:pPr>
        <w:tabs>
          <w:tab w:val="num" w:pos="5786"/>
        </w:tabs>
        <w:ind w:left="5786" w:hanging="180"/>
      </w:pPr>
    </w:lvl>
    <w:lvl w:ilvl="6" w:tplc="0409000F" w:tentative="1">
      <w:start w:val="1"/>
      <w:numFmt w:val="decimal"/>
      <w:lvlText w:val="%7."/>
      <w:lvlJc w:val="left"/>
      <w:pPr>
        <w:tabs>
          <w:tab w:val="num" w:pos="6506"/>
        </w:tabs>
        <w:ind w:left="6506" w:hanging="360"/>
      </w:pPr>
    </w:lvl>
    <w:lvl w:ilvl="7" w:tplc="04090019" w:tentative="1">
      <w:start w:val="1"/>
      <w:numFmt w:val="lowerLetter"/>
      <w:lvlText w:val="%8."/>
      <w:lvlJc w:val="left"/>
      <w:pPr>
        <w:tabs>
          <w:tab w:val="num" w:pos="7226"/>
        </w:tabs>
        <w:ind w:left="7226" w:hanging="360"/>
      </w:pPr>
    </w:lvl>
    <w:lvl w:ilvl="8" w:tplc="0409001B" w:tentative="1">
      <w:start w:val="1"/>
      <w:numFmt w:val="lowerRoman"/>
      <w:lvlText w:val="%9."/>
      <w:lvlJc w:val="right"/>
      <w:pPr>
        <w:tabs>
          <w:tab w:val="num" w:pos="7946"/>
        </w:tabs>
        <w:ind w:left="7946" w:hanging="180"/>
      </w:pPr>
    </w:lvl>
  </w:abstractNum>
  <w:abstractNum w:abstractNumId="3">
    <w:nsid w:val="1DDF38B1"/>
    <w:multiLevelType w:val="hybridMultilevel"/>
    <w:tmpl w:val="3948EF00"/>
    <w:lvl w:ilvl="0" w:tplc="8956198C">
      <w:start w:val="1"/>
      <w:numFmt w:val="hebrew1"/>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39289B"/>
    <w:multiLevelType w:val="multilevel"/>
    <w:tmpl w:val="CABC4270"/>
    <w:lvl w:ilvl="0">
      <w:start w:val="11"/>
      <w:numFmt w:val="decimal"/>
      <w:lvlText w:val="%1."/>
      <w:lvlJc w:val="left"/>
      <w:pPr>
        <w:tabs>
          <w:tab w:val="num" w:pos="435"/>
        </w:tabs>
        <w:ind w:left="435" w:hanging="435"/>
      </w:pPr>
      <w:rPr>
        <w:rFonts w:hint="default"/>
      </w:rPr>
    </w:lvl>
    <w:lvl w:ilvl="1">
      <w:start w:val="8"/>
      <w:numFmt w:val="decimal"/>
      <w:lvlText w:val="%1.%2."/>
      <w:lvlJc w:val="left"/>
      <w:pPr>
        <w:tabs>
          <w:tab w:val="num" w:pos="1117"/>
        </w:tabs>
        <w:ind w:left="1117" w:hanging="720"/>
      </w:pPr>
      <w:rPr>
        <w:rFonts w:hint="default"/>
      </w:rPr>
    </w:lvl>
    <w:lvl w:ilvl="2">
      <w:start w:val="1"/>
      <w:numFmt w:val="decimal"/>
      <w:lvlText w:val="%1.%2.%3."/>
      <w:lvlJc w:val="left"/>
      <w:pPr>
        <w:tabs>
          <w:tab w:val="num" w:pos="2704"/>
        </w:tabs>
        <w:ind w:left="2704" w:hanging="720"/>
      </w:pPr>
      <w:rPr>
        <w:rFonts w:hint="default"/>
        <w:b w:val="0"/>
        <w:bCs w:val="0"/>
      </w:rPr>
    </w:lvl>
    <w:lvl w:ilvl="3">
      <w:start w:val="1"/>
      <w:numFmt w:val="decimal"/>
      <w:lvlText w:val="%1.%2.%3.%4."/>
      <w:lvlJc w:val="left"/>
      <w:pPr>
        <w:tabs>
          <w:tab w:val="num" w:pos="2271"/>
        </w:tabs>
        <w:ind w:left="2271" w:hanging="108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425"/>
        </w:tabs>
        <w:ind w:left="3425" w:hanging="144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579"/>
        </w:tabs>
        <w:ind w:left="4579" w:hanging="1800"/>
      </w:pPr>
      <w:rPr>
        <w:rFonts w:hint="default"/>
      </w:rPr>
    </w:lvl>
    <w:lvl w:ilvl="8">
      <w:start w:val="1"/>
      <w:numFmt w:val="decimal"/>
      <w:lvlText w:val="%1.%2.%3.%4.%5.%6.%7.%8.%9."/>
      <w:lvlJc w:val="left"/>
      <w:pPr>
        <w:tabs>
          <w:tab w:val="num" w:pos="4976"/>
        </w:tabs>
        <w:ind w:left="4976" w:hanging="1800"/>
      </w:pPr>
      <w:rPr>
        <w:rFonts w:hint="default"/>
      </w:rPr>
    </w:lvl>
  </w:abstractNum>
  <w:abstractNum w:abstractNumId="5">
    <w:nsid w:val="348E7AEF"/>
    <w:multiLevelType w:val="hybridMultilevel"/>
    <w:tmpl w:val="854A0EE8"/>
    <w:lvl w:ilvl="0" w:tplc="5AC82606">
      <w:start w:val="1"/>
      <w:numFmt w:val="decimal"/>
      <w:lvlText w:val="%1."/>
      <w:lvlJc w:val="left"/>
      <w:pPr>
        <w:tabs>
          <w:tab w:val="num" w:pos="1826"/>
        </w:tabs>
        <w:ind w:left="1826" w:hanging="360"/>
      </w:pPr>
      <w:rPr>
        <w:rFonts w:hint="default"/>
        <w:b w:val="0"/>
        <w:bCs/>
      </w:rPr>
    </w:lvl>
    <w:lvl w:ilvl="1" w:tplc="04090019" w:tentative="1">
      <w:start w:val="1"/>
      <w:numFmt w:val="lowerLetter"/>
      <w:lvlText w:val="%2."/>
      <w:lvlJc w:val="left"/>
      <w:pPr>
        <w:tabs>
          <w:tab w:val="num" w:pos="2546"/>
        </w:tabs>
        <w:ind w:left="2546" w:hanging="360"/>
      </w:pPr>
    </w:lvl>
    <w:lvl w:ilvl="2" w:tplc="0409001B" w:tentative="1">
      <w:start w:val="1"/>
      <w:numFmt w:val="lowerRoman"/>
      <w:lvlText w:val="%3."/>
      <w:lvlJc w:val="right"/>
      <w:pPr>
        <w:tabs>
          <w:tab w:val="num" w:pos="3266"/>
        </w:tabs>
        <w:ind w:left="3266" w:hanging="180"/>
      </w:pPr>
    </w:lvl>
    <w:lvl w:ilvl="3" w:tplc="0409000F" w:tentative="1">
      <w:start w:val="1"/>
      <w:numFmt w:val="decimal"/>
      <w:lvlText w:val="%4."/>
      <w:lvlJc w:val="left"/>
      <w:pPr>
        <w:tabs>
          <w:tab w:val="num" w:pos="3986"/>
        </w:tabs>
        <w:ind w:left="3986" w:hanging="360"/>
      </w:pPr>
    </w:lvl>
    <w:lvl w:ilvl="4" w:tplc="04090019" w:tentative="1">
      <w:start w:val="1"/>
      <w:numFmt w:val="lowerLetter"/>
      <w:lvlText w:val="%5."/>
      <w:lvlJc w:val="left"/>
      <w:pPr>
        <w:tabs>
          <w:tab w:val="num" w:pos="4706"/>
        </w:tabs>
        <w:ind w:left="4706" w:hanging="360"/>
      </w:pPr>
    </w:lvl>
    <w:lvl w:ilvl="5" w:tplc="0409001B" w:tentative="1">
      <w:start w:val="1"/>
      <w:numFmt w:val="lowerRoman"/>
      <w:lvlText w:val="%6."/>
      <w:lvlJc w:val="right"/>
      <w:pPr>
        <w:tabs>
          <w:tab w:val="num" w:pos="5426"/>
        </w:tabs>
        <w:ind w:left="5426" w:hanging="180"/>
      </w:pPr>
    </w:lvl>
    <w:lvl w:ilvl="6" w:tplc="0409000F" w:tentative="1">
      <w:start w:val="1"/>
      <w:numFmt w:val="decimal"/>
      <w:lvlText w:val="%7."/>
      <w:lvlJc w:val="left"/>
      <w:pPr>
        <w:tabs>
          <w:tab w:val="num" w:pos="6146"/>
        </w:tabs>
        <w:ind w:left="6146" w:hanging="360"/>
      </w:pPr>
    </w:lvl>
    <w:lvl w:ilvl="7" w:tplc="04090019" w:tentative="1">
      <w:start w:val="1"/>
      <w:numFmt w:val="lowerLetter"/>
      <w:lvlText w:val="%8."/>
      <w:lvlJc w:val="left"/>
      <w:pPr>
        <w:tabs>
          <w:tab w:val="num" w:pos="6866"/>
        </w:tabs>
        <w:ind w:left="6866" w:hanging="360"/>
      </w:pPr>
    </w:lvl>
    <w:lvl w:ilvl="8" w:tplc="0409001B" w:tentative="1">
      <w:start w:val="1"/>
      <w:numFmt w:val="lowerRoman"/>
      <w:lvlText w:val="%9."/>
      <w:lvlJc w:val="right"/>
      <w:pPr>
        <w:tabs>
          <w:tab w:val="num" w:pos="7586"/>
        </w:tabs>
        <w:ind w:left="7586" w:hanging="180"/>
      </w:pPr>
    </w:lvl>
  </w:abstractNum>
  <w:abstractNum w:abstractNumId="6">
    <w:nsid w:val="38F71497"/>
    <w:multiLevelType w:val="hybridMultilevel"/>
    <w:tmpl w:val="A2E81D06"/>
    <w:lvl w:ilvl="0" w:tplc="F95C0796">
      <w:start w:val="1"/>
      <w:numFmt w:val="hebrew1"/>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661651"/>
    <w:multiLevelType w:val="hybridMultilevel"/>
    <w:tmpl w:val="36329CF8"/>
    <w:lvl w:ilvl="0" w:tplc="3EE680C0">
      <w:start w:val="1"/>
      <w:numFmt w:val="bullet"/>
      <w:lvlText w:val=""/>
      <w:lvlJc w:val="left"/>
      <w:pPr>
        <w:tabs>
          <w:tab w:val="num" w:pos="720"/>
        </w:tabs>
        <w:ind w:left="720" w:hanging="360"/>
      </w:pPr>
      <w:rPr>
        <w:rFonts w:ascii="Symbol" w:hAnsi="Symbol" w:hint="default"/>
        <w:b/>
        <w:bCs/>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636652"/>
    <w:multiLevelType w:val="hybridMultilevel"/>
    <w:tmpl w:val="56B6E0F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71023C87"/>
    <w:multiLevelType w:val="multilevel"/>
    <w:tmpl w:val="5C466A10"/>
    <w:lvl w:ilvl="0">
      <w:start w:val="1"/>
      <w:numFmt w:val="decimal"/>
      <w:lvlRestart w:val="0"/>
      <w:lvlText w:val="%1."/>
      <w:lvlJc w:val="left"/>
      <w:pPr>
        <w:tabs>
          <w:tab w:val="num" w:pos="397"/>
        </w:tabs>
        <w:ind w:left="397" w:hanging="397"/>
      </w:pPr>
      <w:rPr>
        <w:rFonts w:hint="default"/>
        <w:b w:val="0"/>
        <w:bCs w:val="0"/>
      </w:rPr>
    </w:lvl>
    <w:lvl w:ilvl="1">
      <w:start w:val="1"/>
      <w:numFmt w:val="decimal"/>
      <w:lvlText w:val="%1.%2."/>
      <w:lvlJc w:val="left"/>
      <w:pPr>
        <w:tabs>
          <w:tab w:val="num" w:pos="1020"/>
        </w:tabs>
        <w:ind w:left="1020" w:hanging="623"/>
      </w:pPr>
      <w:rPr>
        <w:rFonts w:hint="default"/>
        <w:sz w:val="24"/>
        <w:szCs w:val="24"/>
        <w:u w:val="none"/>
      </w:rPr>
    </w:lvl>
    <w:lvl w:ilvl="2">
      <w:start w:val="1"/>
      <w:numFmt w:val="decimal"/>
      <w:lvlText w:val="%1.%2.%3."/>
      <w:lvlJc w:val="left"/>
      <w:pPr>
        <w:tabs>
          <w:tab w:val="num" w:pos="1757"/>
        </w:tabs>
        <w:ind w:left="1757" w:hanging="737"/>
      </w:pPr>
      <w:rPr>
        <w:rFonts w:hint="default"/>
        <w:b w:val="0"/>
        <w:bCs w:val="0"/>
      </w:rPr>
    </w:lvl>
    <w:lvl w:ilvl="3">
      <w:start w:val="1"/>
      <w:numFmt w:val="decimal"/>
      <w:lvlText w:val="%1.%2.%3.%4."/>
      <w:lvlJc w:val="left"/>
      <w:pPr>
        <w:tabs>
          <w:tab w:val="num" w:pos="2721"/>
        </w:tabs>
        <w:ind w:left="2721" w:hanging="964"/>
      </w:pPr>
      <w:rPr>
        <w:rFonts w:hint="default"/>
      </w:rPr>
    </w:lvl>
    <w:lvl w:ilvl="4">
      <w:start w:val="1"/>
      <w:numFmt w:val="hebrew1"/>
      <w:lvlText w:val="%5."/>
      <w:lvlJc w:val="left"/>
      <w:pPr>
        <w:tabs>
          <w:tab w:val="num" w:pos="3175"/>
        </w:tabs>
        <w:ind w:left="3175" w:hanging="454"/>
      </w:pPr>
      <w:rPr>
        <w:rFonts w:hint="default"/>
        <w:b w:val="0"/>
        <w:bCs w:val="0"/>
        <w:sz w:val="26"/>
      </w:rPr>
    </w:lvl>
    <w:lvl w:ilvl="5">
      <w:start w:val="1"/>
      <w:numFmt w:val="decimal"/>
      <w:lvlText w:val="%6)"/>
      <w:lvlJc w:val="left"/>
      <w:pPr>
        <w:tabs>
          <w:tab w:val="num" w:pos="3628"/>
        </w:tabs>
        <w:ind w:left="3628" w:hanging="453"/>
      </w:pPr>
      <w:rPr>
        <w:rFonts w:hint="default"/>
      </w:rPr>
    </w:lvl>
    <w:lvl w:ilvl="6">
      <w:start w:val="1"/>
      <w:numFmt w:val="hebrew1"/>
      <w:lvlText w:val="%7."/>
      <w:lvlJc w:val="left"/>
      <w:pPr>
        <w:tabs>
          <w:tab w:val="num" w:pos="4082"/>
        </w:tabs>
        <w:ind w:left="4082" w:hanging="454"/>
      </w:pPr>
      <w:rPr>
        <w:rFonts w:hint="default"/>
      </w:rPr>
    </w:lvl>
    <w:lvl w:ilvl="7">
      <w:start w:val="1"/>
      <w:numFmt w:val="bullet"/>
      <w:lvlText w:val=""/>
      <w:lvlJc w:val="left"/>
      <w:pPr>
        <w:tabs>
          <w:tab w:val="num" w:pos="4535"/>
        </w:tabs>
        <w:ind w:left="4535" w:hanging="453"/>
      </w:pPr>
      <w:rPr>
        <w:rFonts w:ascii="Wingdings 2" w:hAnsi="Wingdings 2" w:cs="Times New Roman" w:hint="default"/>
      </w:rPr>
    </w:lvl>
    <w:lvl w:ilvl="8">
      <w:start w:val="1"/>
      <w:numFmt w:val="bullet"/>
      <w:lvlText w:val=""/>
      <w:lvlJc w:val="left"/>
      <w:pPr>
        <w:tabs>
          <w:tab w:val="num" w:pos="5102"/>
        </w:tabs>
        <w:ind w:left="5102" w:hanging="567"/>
      </w:pPr>
      <w:rPr>
        <w:rFonts w:ascii="Wingdings" w:hAnsi="Wingdings" w:cs="Times New Roman" w:hint="default"/>
      </w:rPr>
    </w:lvl>
  </w:abstractNum>
  <w:abstractNum w:abstractNumId="10">
    <w:nsid w:val="7DDC37A0"/>
    <w:multiLevelType w:val="multilevel"/>
    <w:tmpl w:val="1944B2AE"/>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1117"/>
        </w:tabs>
        <w:ind w:left="1117" w:hanging="720"/>
      </w:pPr>
      <w:rPr>
        <w:rFonts w:hint="default"/>
        <w:sz w:val="26"/>
        <w:szCs w:val="26"/>
      </w:rPr>
    </w:lvl>
    <w:lvl w:ilvl="2">
      <w:start w:val="1"/>
      <w:numFmt w:val="decimal"/>
      <w:lvlText w:val="%1.%2.%3."/>
      <w:lvlJc w:val="left"/>
      <w:pPr>
        <w:tabs>
          <w:tab w:val="num" w:pos="2704"/>
        </w:tabs>
        <w:ind w:left="2704" w:hanging="720"/>
      </w:pPr>
      <w:rPr>
        <w:rFonts w:hint="default"/>
        <w:b w:val="0"/>
        <w:bCs w:val="0"/>
      </w:rPr>
    </w:lvl>
    <w:lvl w:ilvl="3">
      <w:start w:val="1"/>
      <w:numFmt w:val="decimal"/>
      <w:lvlText w:val="%1.%2.%3.%4."/>
      <w:lvlJc w:val="left"/>
      <w:pPr>
        <w:tabs>
          <w:tab w:val="num" w:pos="2271"/>
        </w:tabs>
        <w:ind w:left="2271" w:hanging="108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425"/>
        </w:tabs>
        <w:ind w:left="3425" w:hanging="144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579"/>
        </w:tabs>
        <w:ind w:left="4579" w:hanging="1800"/>
      </w:pPr>
      <w:rPr>
        <w:rFonts w:hint="default"/>
      </w:rPr>
    </w:lvl>
    <w:lvl w:ilvl="8">
      <w:start w:val="1"/>
      <w:numFmt w:val="decimal"/>
      <w:lvlText w:val="%1.%2.%3.%4.%5.%6.%7.%8.%9."/>
      <w:lvlJc w:val="left"/>
      <w:pPr>
        <w:tabs>
          <w:tab w:val="num" w:pos="4976"/>
        </w:tabs>
        <w:ind w:left="4976"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5"/>
  </w:num>
  <w:num w:numId="8">
    <w:abstractNumId w:val="9"/>
  </w:num>
  <w:num w:numId="9">
    <w:abstractNumId w:val="4"/>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001"/>
  <w:defaultTabStop w:val="720"/>
  <w:noPunctuationKerning/>
  <w:characterSpacingControl w:val="doNotCompress"/>
  <w:footnotePr>
    <w:footnote w:id="-1"/>
    <w:footnote w:id="0"/>
  </w:footnotePr>
  <w:endnotePr>
    <w:endnote w:id="-1"/>
    <w:endnote w:id="0"/>
  </w:endnotePr>
  <w:compat>
    <w:applyBreakingRules/>
  </w:compat>
  <w:rsids>
    <w:rsidRoot w:val="00F6622A"/>
    <w:rsid w:val="000165F3"/>
    <w:rsid w:val="0002554B"/>
    <w:rsid w:val="00027618"/>
    <w:rsid w:val="00034627"/>
    <w:rsid w:val="00036FC1"/>
    <w:rsid w:val="00051D95"/>
    <w:rsid w:val="00070F82"/>
    <w:rsid w:val="00084C59"/>
    <w:rsid w:val="000A52B1"/>
    <w:rsid w:val="000C39EB"/>
    <w:rsid w:val="000C3F61"/>
    <w:rsid w:val="000C6885"/>
    <w:rsid w:val="00111F8E"/>
    <w:rsid w:val="00135225"/>
    <w:rsid w:val="00136386"/>
    <w:rsid w:val="00151722"/>
    <w:rsid w:val="0015241B"/>
    <w:rsid w:val="00171FE6"/>
    <w:rsid w:val="00175041"/>
    <w:rsid w:val="00176E38"/>
    <w:rsid w:val="00183DAF"/>
    <w:rsid w:val="00185A1A"/>
    <w:rsid w:val="001B09BC"/>
    <w:rsid w:val="001B4EA6"/>
    <w:rsid w:val="001C32E0"/>
    <w:rsid w:val="001E2D62"/>
    <w:rsid w:val="00204A5A"/>
    <w:rsid w:val="00206AB4"/>
    <w:rsid w:val="00207722"/>
    <w:rsid w:val="00211DE6"/>
    <w:rsid w:val="00217683"/>
    <w:rsid w:val="002231EC"/>
    <w:rsid w:val="0022329A"/>
    <w:rsid w:val="0023552D"/>
    <w:rsid w:val="002523B6"/>
    <w:rsid w:val="0026636B"/>
    <w:rsid w:val="0027640A"/>
    <w:rsid w:val="00276A33"/>
    <w:rsid w:val="00292E9E"/>
    <w:rsid w:val="002A1765"/>
    <w:rsid w:val="002A44AB"/>
    <w:rsid w:val="002B3078"/>
    <w:rsid w:val="002C7A7B"/>
    <w:rsid w:val="002D30BD"/>
    <w:rsid w:val="002E1503"/>
    <w:rsid w:val="00302F3D"/>
    <w:rsid w:val="0030496D"/>
    <w:rsid w:val="00306B0E"/>
    <w:rsid w:val="00317E6A"/>
    <w:rsid w:val="00341B21"/>
    <w:rsid w:val="00341C3E"/>
    <w:rsid w:val="00344507"/>
    <w:rsid w:val="00366C89"/>
    <w:rsid w:val="00370F98"/>
    <w:rsid w:val="003766B2"/>
    <w:rsid w:val="00396613"/>
    <w:rsid w:val="003A11E2"/>
    <w:rsid w:val="003A3F0B"/>
    <w:rsid w:val="003A4D25"/>
    <w:rsid w:val="003B4FA9"/>
    <w:rsid w:val="003B7DBD"/>
    <w:rsid w:val="003D7647"/>
    <w:rsid w:val="003E0A05"/>
    <w:rsid w:val="003E1F05"/>
    <w:rsid w:val="003E6755"/>
    <w:rsid w:val="0040434F"/>
    <w:rsid w:val="00412EDF"/>
    <w:rsid w:val="00421CDF"/>
    <w:rsid w:val="004545F7"/>
    <w:rsid w:val="00457365"/>
    <w:rsid w:val="0046298A"/>
    <w:rsid w:val="004665D1"/>
    <w:rsid w:val="00467E7C"/>
    <w:rsid w:val="00472CE4"/>
    <w:rsid w:val="0047412F"/>
    <w:rsid w:val="00475FB5"/>
    <w:rsid w:val="004765A6"/>
    <w:rsid w:val="00481400"/>
    <w:rsid w:val="00485311"/>
    <w:rsid w:val="0049526A"/>
    <w:rsid w:val="004A2AB7"/>
    <w:rsid w:val="004B3A69"/>
    <w:rsid w:val="004C088B"/>
    <w:rsid w:val="004C1245"/>
    <w:rsid w:val="004E6B49"/>
    <w:rsid w:val="004F021C"/>
    <w:rsid w:val="004F70F4"/>
    <w:rsid w:val="00507847"/>
    <w:rsid w:val="00533E53"/>
    <w:rsid w:val="00544576"/>
    <w:rsid w:val="005771C4"/>
    <w:rsid w:val="005852DA"/>
    <w:rsid w:val="00585CA9"/>
    <w:rsid w:val="005B01FE"/>
    <w:rsid w:val="005B2FFE"/>
    <w:rsid w:val="005C2E36"/>
    <w:rsid w:val="005D279C"/>
    <w:rsid w:val="005D3767"/>
    <w:rsid w:val="005D77D0"/>
    <w:rsid w:val="005E550F"/>
    <w:rsid w:val="005F5B50"/>
    <w:rsid w:val="0061254C"/>
    <w:rsid w:val="00612E3D"/>
    <w:rsid w:val="00622191"/>
    <w:rsid w:val="00667520"/>
    <w:rsid w:val="00673B1E"/>
    <w:rsid w:val="00692149"/>
    <w:rsid w:val="00695BFD"/>
    <w:rsid w:val="006A7134"/>
    <w:rsid w:val="006B428D"/>
    <w:rsid w:val="006E0890"/>
    <w:rsid w:val="006E2F11"/>
    <w:rsid w:val="006E724C"/>
    <w:rsid w:val="006E7474"/>
    <w:rsid w:val="00711961"/>
    <w:rsid w:val="00712868"/>
    <w:rsid w:val="00717BDC"/>
    <w:rsid w:val="007201D5"/>
    <w:rsid w:val="0073245D"/>
    <w:rsid w:val="00747A2C"/>
    <w:rsid w:val="00752B9C"/>
    <w:rsid w:val="00776F58"/>
    <w:rsid w:val="007773B1"/>
    <w:rsid w:val="0078162E"/>
    <w:rsid w:val="007A134E"/>
    <w:rsid w:val="007A1596"/>
    <w:rsid w:val="007A670F"/>
    <w:rsid w:val="007B20F0"/>
    <w:rsid w:val="007D0305"/>
    <w:rsid w:val="007D34CA"/>
    <w:rsid w:val="007E7A2F"/>
    <w:rsid w:val="00802474"/>
    <w:rsid w:val="00803BB4"/>
    <w:rsid w:val="0080500F"/>
    <w:rsid w:val="00834CAB"/>
    <w:rsid w:val="00854D55"/>
    <w:rsid w:val="00872A01"/>
    <w:rsid w:val="008765E3"/>
    <w:rsid w:val="0089059D"/>
    <w:rsid w:val="008A1B86"/>
    <w:rsid w:val="008B023C"/>
    <w:rsid w:val="008C3C88"/>
    <w:rsid w:val="008C5CF0"/>
    <w:rsid w:val="008D2DF4"/>
    <w:rsid w:val="008E11C0"/>
    <w:rsid w:val="008E1BBF"/>
    <w:rsid w:val="008E5FEC"/>
    <w:rsid w:val="008E6F7C"/>
    <w:rsid w:val="008F1C64"/>
    <w:rsid w:val="009061B8"/>
    <w:rsid w:val="00910D34"/>
    <w:rsid w:val="00914B5C"/>
    <w:rsid w:val="00920D9C"/>
    <w:rsid w:val="00937B20"/>
    <w:rsid w:val="00943975"/>
    <w:rsid w:val="00964163"/>
    <w:rsid w:val="00972A08"/>
    <w:rsid w:val="00976A3F"/>
    <w:rsid w:val="009A01AC"/>
    <w:rsid w:val="009A42B5"/>
    <w:rsid w:val="009C6A0B"/>
    <w:rsid w:val="009C759D"/>
    <w:rsid w:val="009D08CC"/>
    <w:rsid w:val="009E1F3E"/>
    <w:rsid w:val="00A03F4B"/>
    <w:rsid w:val="00A233C0"/>
    <w:rsid w:val="00A2421F"/>
    <w:rsid w:val="00A24BB2"/>
    <w:rsid w:val="00A42A5D"/>
    <w:rsid w:val="00A64189"/>
    <w:rsid w:val="00A830CC"/>
    <w:rsid w:val="00A8682A"/>
    <w:rsid w:val="00AA67C6"/>
    <w:rsid w:val="00AB4A75"/>
    <w:rsid w:val="00AB6F60"/>
    <w:rsid w:val="00AC4C85"/>
    <w:rsid w:val="00AC62CC"/>
    <w:rsid w:val="00AD0AA9"/>
    <w:rsid w:val="00AD3DDE"/>
    <w:rsid w:val="00AE7137"/>
    <w:rsid w:val="00AE7771"/>
    <w:rsid w:val="00B16572"/>
    <w:rsid w:val="00B26FCC"/>
    <w:rsid w:val="00B34F93"/>
    <w:rsid w:val="00B36C92"/>
    <w:rsid w:val="00B41E52"/>
    <w:rsid w:val="00B4317B"/>
    <w:rsid w:val="00B572C5"/>
    <w:rsid w:val="00B57386"/>
    <w:rsid w:val="00B631AD"/>
    <w:rsid w:val="00B652BF"/>
    <w:rsid w:val="00B655C8"/>
    <w:rsid w:val="00B80A68"/>
    <w:rsid w:val="00B87B2B"/>
    <w:rsid w:val="00BA087C"/>
    <w:rsid w:val="00BB5DFC"/>
    <w:rsid w:val="00BD0EEA"/>
    <w:rsid w:val="00BD4045"/>
    <w:rsid w:val="00C014C7"/>
    <w:rsid w:val="00C101CF"/>
    <w:rsid w:val="00C17958"/>
    <w:rsid w:val="00C20FA0"/>
    <w:rsid w:val="00C31E7B"/>
    <w:rsid w:val="00C350B9"/>
    <w:rsid w:val="00C3591A"/>
    <w:rsid w:val="00C364BE"/>
    <w:rsid w:val="00C41342"/>
    <w:rsid w:val="00C63E72"/>
    <w:rsid w:val="00C645CF"/>
    <w:rsid w:val="00C67884"/>
    <w:rsid w:val="00C704F5"/>
    <w:rsid w:val="00C82F41"/>
    <w:rsid w:val="00C91EE1"/>
    <w:rsid w:val="00CA6601"/>
    <w:rsid w:val="00CB48BA"/>
    <w:rsid w:val="00CB71AC"/>
    <w:rsid w:val="00CC4CD4"/>
    <w:rsid w:val="00CF5E3C"/>
    <w:rsid w:val="00D1565D"/>
    <w:rsid w:val="00D24A7F"/>
    <w:rsid w:val="00D62B38"/>
    <w:rsid w:val="00D62B49"/>
    <w:rsid w:val="00D824B9"/>
    <w:rsid w:val="00D86D85"/>
    <w:rsid w:val="00D942B1"/>
    <w:rsid w:val="00DB774E"/>
    <w:rsid w:val="00DF40F1"/>
    <w:rsid w:val="00E12823"/>
    <w:rsid w:val="00E16A1B"/>
    <w:rsid w:val="00E3724B"/>
    <w:rsid w:val="00E413BA"/>
    <w:rsid w:val="00E56643"/>
    <w:rsid w:val="00E63953"/>
    <w:rsid w:val="00E75963"/>
    <w:rsid w:val="00E84146"/>
    <w:rsid w:val="00E96B85"/>
    <w:rsid w:val="00EA6075"/>
    <w:rsid w:val="00EB10C2"/>
    <w:rsid w:val="00EB23A4"/>
    <w:rsid w:val="00EC493E"/>
    <w:rsid w:val="00EC701F"/>
    <w:rsid w:val="00ED1F7D"/>
    <w:rsid w:val="00ED2B9A"/>
    <w:rsid w:val="00ED5542"/>
    <w:rsid w:val="00EE359E"/>
    <w:rsid w:val="00F06F44"/>
    <w:rsid w:val="00F27EAB"/>
    <w:rsid w:val="00F35CA6"/>
    <w:rsid w:val="00F5197D"/>
    <w:rsid w:val="00F56623"/>
    <w:rsid w:val="00F65FE0"/>
    <w:rsid w:val="00F6622A"/>
    <w:rsid w:val="00F67AEE"/>
    <w:rsid w:val="00F84380"/>
    <w:rsid w:val="00F8580C"/>
    <w:rsid w:val="00F91538"/>
    <w:rsid w:val="00F96B9F"/>
    <w:rsid w:val="00FA580C"/>
    <w:rsid w:val="00FA60CA"/>
    <w:rsid w:val="00FB2793"/>
    <w:rsid w:val="00FC5613"/>
    <w:rsid w:val="00FD04AF"/>
    <w:rsid w:val="00FD269D"/>
    <w:rsid w:val="00FF31A0"/>
    <w:rsid w:val="00FF5C2E"/>
    <w:rsid w:val="00FF6F5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country-region"/>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5C8"/>
    <w:pPr>
      <w:bidi/>
    </w:pPr>
    <w:rPr>
      <w:rFonts w:cs="David"/>
      <w:szCs w:val="24"/>
      <w:lang w:eastAsia="he-IL"/>
    </w:rPr>
  </w:style>
  <w:style w:type="paragraph" w:styleId="1">
    <w:name w:val="heading 1"/>
    <w:basedOn w:val="5"/>
    <w:next w:val="a"/>
    <w:qFormat/>
    <w:rsid w:val="00E84146"/>
    <w:pPr>
      <w:spacing w:before="120" w:after="120"/>
      <w:jc w:val="center"/>
      <w:outlineLvl w:val="0"/>
    </w:pPr>
    <w:rPr>
      <w:sz w:val="32"/>
      <w:szCs w:val="32"/>
    </w:rPr>
  </w:style>
  <w:style w:type="paragraph" w:styleId="2">
    <w:name w:val="heading 2"/>
    <w:basedOn w:val="a"/>
    <w:next w:val="a"/>
    <w:qFormat/>
    <w:rsid w:val="00C82F41"/>
    <w:pPr>
      <w:keepNext/>
      <w:spacing w:before="120" w:line="480" w:lineRule="auto"/>
      <w:outlineLvl w:val="1"/>
    </w:pPr>
    <w:rPr>
      <w:b/>
      <w:bCs/>
      <w:sz w:val="24"/>
      <w:szCs w:val="28"/>
      <w:u w:val="single"/>
    </w:rPr>
  </w:style>
  <w:style w:type="paragraph" w:styleId="3">
    <w:name w:val="heading 3"/>
    <w:basedOn w:val="a"/>
    <w:next w:val="a"/>
    <w:qFormat/>
    <w:rsid w:val="00E84146"/>
    <w:pPr>
      <w:keepNext/>
      <w:spacing w:before="120" w:after="120" w:line="480" w:lineRule="auto"/>
      <w:outlineLvl w:val="2"/>
    </w:pPr>
    <w:rPr>
      <w:rFonts w:ascii="Arial" w:hAnsi="Arial"/>
      <w:b/>
      <w:bCs/>
      <w:sz w:val="24"/>
      <w:u w:val="single"/>
    </w:rPr>
  </w:style>
  <w:style w:type="paragraph" w:styleId="5">
    <w:name w:val="heading 5"/>
    <w:basedOn w:val="a"/>
    <w:next w:val="a"/>
    <w:qFormat/>
    <w:rsid w:val="00B655C8"/>
    <w:pPr>
      <w:keepNext/>
      <w:spacing w:line="480" w:lineRule="auto"/>
      <w:jc w:val="both"/>
      <w:outlineLvl w:val="4"/>
    </w:pPr>
    <w:rPr>
      <w:b/>
      <w:bCs/>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B655C8"/>
    <w:rPr>
      <w:rFonts w:ascii="Courier New" w:hAnsi="Courier New" w:cs="Times New Roman"/>
      <w:szCs w:val="20"/>
      <w:lang w:eastAsia="en-US"/>
    </w:rPr>
  </w:style>
  <w:style w:type="character" w:styleId="a4">
    <w:name w:val="footnote reference"/>
    <w:basedOn w:val="a0"/>
    <w:semiHidden/>
    <w:rsid w:val="00B655C8"/>
    <w:rPr>
      <w:vertAlign w:val="superscript"/>
    </w:rPr>
  </w:style>
  <w:style w:type="paragraph" w:styleId="a5">
    <w:name w:val="footnote text"/>
    <w:basedOn w:val="a"/>
    <w:semiHidden/>
    <w:rsid w:val="00B655C8"/>
    <w:rPr>
      <w:szCs w:val="20"/>
    </w:rPr>
  </w:style>
  <w:style w:type="paragraph" w:styleId="a6">
    <w:name w:val="Body Text"/>
    <w:basedOn w:val="a"/>
    <w:rsid w:val="00B655C8"/>
    <w:pPr>
      <w:spacing w:line="480" w:lineRule="auto"/>
    </w:pPr>
  </w:style>
  <w:style w:type="paragraph" w:styleId="a7">
    <w:name w:val="header"/>
    <w:basedOn w:val="a"/>
    <w:rsid w:val="00B655C8"/>
    <w:pPr>
      <w:tabs>
        <w:tab w:val="center" w:pos="4153"/>
        <w:tab w:val="right" w:pos="8306"/>
      </w:tabs>
    </w:pPr>
  </w:style>
  <w:style w:type="character" w:styleId="a8">
    <w:name w:val="page number"/>
    <w:basedOn w:val="a0"/>
    <w:rsid w:val="00B655C8"/>
  </w:style>
  <w:style w:type="character" w:styleId="Hyperlink">
    <w:name w:val="Hyperlink"/>
    <w:basedOn w:val="a0"/>
    <w:rsid w:val="00B655C8"/>
    <w:rPr>
      <w:color w:val="0000FF"/>
      <w:u w:val="single"/>
    </w:rPr>
  </w:style>
  <w:style w:type="paragraph" w:styleId="NormalWeb">
    <w:name w:val="Normal (Web)"/>
    <w:basedOn w:val="a"/>
    <w:rsid w:val="00B655C8"/>
    <w:pPr>
      <w:bidi w:val="0"/>
      <w:spacing w:before="100" w:beforeAutospacing="1" w:after="100" w:afterAutospacing="1"/>
    </w:pPr>
    <w:rPr>
      <w:rFonts w:cs="Times New Roman"/>
      <w:sz w:val="24"/>
      <w:lang w:eastAsia="en-US"/>
    </w:rPr>
  </w:style>
  <w:style w:type="paragraph" w:customStyle="1" w:styleId="Para1">
    <w:name w:val="Para1"/>
    <w:basedOn w:val="a"/>
    <w:rsid w:val="00ED5542"/>
    <w:pPr>
      <w:tabs>
        <w:tab w:val="left" w:pos="1800"/>
      </w:tabs>
      <w:overflowPunct w:val="0"/>
      <w:autoSpaceDE w:val="0"/>
      <w:autoSpaceDN w:val="0"/>
      <w:adjustRightInd w:val="0"/>
      <w:ind w:left="567"/>
      <w:jc w:val="both"/>
      <w:textAlignment w:val="baseline"/>
    </w:pPr>
    <w:rPr>
      <w:rFonts w:cs="FrankRuehl"/>
      <w:noProof/>
      <w:sz w:val="24"/>
      <w:szCs w:val="26"/>
    </w:rPr>
  </w:style>
  <w:style w:type="paragraph" w:customStyle="1" w:styleId="a9">
    <w:basedOn w:val="a0"/>
    <w:next w:val="a8"/>
    <w:rsid w:val="00ED5542"/>
    <w:pPr>
      <w:overflowPunct w:val="0"/>
      <w:autoSpaceDE w:val="0"/>
      <w:autoSpaceDN w:val="0"/>
      <w:adjustRightInd w:val="0"/>
      <w:spacing w:after="120"/>
      <w:ind w:left="849"/>
      <w:jc w:val="both"/>
      <w:textAlignment w:val="baseline"/>
    </w:pPr>
    <w:rPr>
      <w:rFonts w:cs="FrankRuehl"/>
      <w:szCs w:val="26"/>
    </w:rPr>
  </w:style>
  <w:style w:type="paragraph" w:customStyle="1" w:styleId="Memo">
    <w:name w:val="Memo"/>
    <w:basedOn w:val="a"/>
    <w:rsid w:val="00ED5542"/>
    <w:pPr>
      <w:overflowPunct w:val="0"/>
      <w:autoSpaceDE w:val="0"/>
      <w:autoSpaceDN w:val="0"/>
      <w:adjustRightInd w:val="0"/>
      <w:ind w:left="5760"/>
      <w:textAlignment w:val="baseline"/>
    </w:pPr>
    <w:rPr>
      <w:rFonts w:cs="FrankRuehl"/>
      <w:szCs w:val="26"/>
    </w:rPr>
  </w:style>
  <w:style w:type="paragraph" w:customStyle="1" w:styleId="Reference">
    <w:name w:val="Reference"/>
    <w:basedOn w:val="a"/>
    <w:rsid w:val="00ED5542"/>
    <w:pPr>
      <w:tabs>
        <w:tab w:val="left" w:pos="1474"/>
      </w:tabs>
      <w:overflowPunct w:val="0"/>
      <w:autoSpaceDE w:val="0"/>
      <w:autoSpaceDN w:val="0"/>
      <w:adjustRightInd w:val="0"/>
      <w:ind w:left="1650" w:hanging="992"/>
      <w:textAlignment w:val="baseline"/>
    </w:pPr>
    <w:rPr>
      <w:rFonts w:cs="FrankRuehl"/>
      <w:szCs w:val="26"/>
    </w:rPr>
  </w:style>
  <w:style w:type="paragraph" w:customStyle="1" w:styleId="Sign">
    <w:name w:val="Sign"/>
    <w:basedOn w:val="a"/>
    <w:rsid w:val="00ED5542"/>
    <w:pPr>
      <w:overflowPunct w:val="0"/>
      <w:autoSpaceDE w:val="0"/>
      <w:autoSpaceDN w:val="0"/>
      <w:adjustRightInd w:val="0"/>
      <w:ind w:left="3493"/>
      <w:jc w:val="center"/>
      <w:textAlignment w:val="baseline"/>
    </w:pPr>
    <w:rPr>
      <w:rFonts w:cs="FrankRuehl"/>
      <w:szCs w:val="26"/>
    </w:rPr>
  </w:style>
  <w:style w:type="paragraph" w:customStyle="1" w:styleId="About">
    <w:name w:val="About"/>
    <w:basedOn w:val="a"/>
    <w:rsid w:val="00ED5542"/>
    <w:pPr>
      <w:overflowPunct w:val="0"/>
      <w:autoSpaceDE w:val="0"/>
      <w:autoSpaceDN w:val="0"/>
      <w:adjustRightInd w:val="0"/>
      <w:ind w:left="658" w:hanging="658"/>
      <w:textAlignment w:val="baseline"/>
    </w:pPr>
    <w:rPr>
      <w:rFonts w:cs="FrankRuehl"/>
      <w:szCs w:val="26"/>
    </w:rPr>
  </w:style>
  <w:style w:type="table" w:styleId="aa">
    <w:name w:val="Table Grid"/>
    <w:basedOn w:val="a1"/>
    <w:rsid w:val="00ED5542"/>
    <w:pPr>
      <w:overflowPunct w:val="0"/>
      <w:autoSpaceDE w:val="0"/>
      <w:autoSpaceDN w:val="0"/>
      <w:bidi/>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rsid w:val="00ED5542"/>
    <w:pPr>
      <w:tabs>
        <w:tab w:val="center" w:pos="4153"/>
        <w:tab w:val="right" w:pos="8306"/>
      </w:tabs>
    </w:pPr>
  </w:style>
  <w:style w:type="paragraph" w:styleId="30">
    <w:name w:val="List Continue 3"/>
    <w:basedOn w:val="a"/>
    <w:rsid w:val="00ED5542"/>
    <w:pPr>
      <w:spacing w:after="120"/>
      <w:ind w:left="849"/>
    </w:pPr>
  </w:style>
  <w:style w:type="character" w:styleId="ac">
    <w:name w:val="annotation reference"/>
    <w:basedOn w:val="a0"/>
    <w:semiHidden/>
    <w:rsid w:val="00E84146"/>
    <w:rPr>
      <w:sz w:val="16"/>
      <w:szCs w:val="16"/>
    </w:rPr>
  </w:style>
  <w:style w:type="paragraph" w:styleId="ad">
    <w:name w:val="annotation text"/>
    <w:basedOn w:val="a"/>
    <w:semiHidden/>
    <w:rsid w:val="00E84146"/>
    <w:rPr>
      <w:szCs w:val="20"/>
    </w:rPr>
  </w:style>
  <w:style w:type="paragraph" w:styleId="ae">
    <w:name w:val="annotation subject"/>
    <w:basedOn w:val="ad"/>
    <w:next w:val="ad"/>
    <w:semiHidden/>
    <w:rsid w:val="00E84146"/>
    <w:rPr>
      <w:b/>
      <w:bCs/>
    </w:rPr>
  </w:style>
  <w:style w:type="paragraph" w:styleId="af">
    <w:name w:val="Balloon Text"/>
    <w:basedOn w:val="a"/>
    <w:semiHidden/>
    <w:rsid w:val="00E84146"/>
    <w:rPr>
      <w:rFonts w:ascii="Tahoma" w:hAnsi="Tahoma" w:cs="Tahoma"/>
      <w:sz w:val="16"/>
      <w:szCs w:val="16"/>
    </w:rPr>
  </w:style>
  <w:style w:type="paragraph" w:styleId="TOC1">
    <w:name w:val="toc 1"/>
    <w:basedOn w:val="a"/>
    <w:next w:val="a"/>
    <w:autoRedefine/>
    <w:semiHidden/>
    <w:rsid w:val="00937B20"/>
  </w:style>
  <w:style w:type="paragraph" w:styleId="TOC2">
    <w:name w:val="toc 2"/>
    <w:basedOn w:val="a"/>
    <w:next w:val="a"/>
    <w:autoRedefine/>
    <w:semiHidden/>
    <w:rsid w:val="00937B20"/>
    <w:pPr>
      <w:ind w:left="200"/>
    </w:pPr>
  </w:style>
  <w:style w:type="paragraph" w:styleId="TOC3">
    <w:name w:val="toc 3"/>
    <w:basedOn w:val="a"/>
    <w:next w:val="a"/>
    <w:autoRedefine/>
    <w:semiHidden/>
    <w:rsid w:val="00937B20"/>
    <w:pPr>
      <w:ind w:left="400"/>
    </w:pPr>
  </w:style>
</w:styles>
</file>

<file path=word/webSettings.xml><?xml version="1.0" encoding="utf-8"?>
<w:webSettings xmlns:r="http://schemas.openxmlformats.org/officeDocument/2006/relationships" xmlns:w="http://schemas.openxmlformats.org/wordprocessingml/2006/main">
  <w:divs>
    <w:div w:id="10496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delh@mail.biu.ac.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envclinic.org"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16881</Words>
  <Characters>84408</Characters>
  <Application>Microsoft Office Word</Application>
  <DocSecurity>4</DocSecurity>
  <Lines>703</Lines>
  <Paragraphs>202</Paragraphs>
  <ScaleCrop>false</ScaleCrop>
  <HeadingPairs>
    <vt:vector size="2" baseType="variant">
      <vt:variant>
        <vt:lpstr>שם</vt:lpstr>
      </vt:variant>
      <vt:variant>
        <vt:i4>1</vt:i4>
      </vt:variant>
    </vt:vector>
  </HeadingPairs>
  <TitlesOfParts>
    <vt:vector size="1" baseType="lpstr">
      <vt:lpstr>בס"ד</vt:lpstr>
    </vt:vector>
  </TitlesOfParts>
  <Company>Schacham</Company>
  <LinksUpToDate>false</LinksUpToDate>
  <CharactersWithSpaces>101087</CharactersWithSpaces>
  <SharedDoc>false</SharedDoc>
  <HLinks>
    <vt:vector size="264" baseType="variant">
      <vt:variant>
        <vt:i4>1769526</vt:i4>
      </vt:variant>
      <vt:variant>
        <vt:i4>254</vt:i4>
      </vt:variant>
      <vt:variant>
        <vt:i4>0</vt:i4>
      </vt:variant>
      <vt:variant>
        <vt:i4>5</vt:i4>
      </vt:variant>
      <vt:variant>
        <vt:lpwstr/>
      </vt:variant>
      <vt:variant>
        <vt:lpwstr>_Toc144716294</vt:lpwstr>
      </vt:variant>
      <vt:variant>
        <vt:i4>1769526</vt:i4>
      </vt:variant>
      <vt:variant>
        <vt:i4>248</vt:i4>
      </vt:variant>
      <vt:variant>
        <vt:i4>0</vt:i4>
      </vt:variant>
      <vt:variant>
        <vt:i4>5</vt:i4>
      </vt:variant>
      <vt:variant>
        <vt:lpwstr/>
      </vt:variant>
      <vt:variant>
        <vt:lpwstr>_Toc144716293</vt:lpwstr>
      </vt:variant>
      <vt:variant>
        <vt:i4>1769526</vt:i4>
      </vt:variant>
      <vt:variant>
        <vt:i4>242</vt:i4>
      </vt:variant>
      <vt:variant>
        <vt:i4>0</vt:i4>
      </vt:variant>
      <vt:variant>
        <vt:i4>5</vt:i4>
      </vt:variant>
      <vt:variant>
        <vt:lpwstr/>
      </vt:variant>
      <vt:variant>
        <vt:lpwstr>_Toc144716292</vt:lpwstr>
      </vt:variant>
      <vt:variant>
        <vt:i4>1769526</vt:i4>
      </vt:variant>
      <vt:variant>
        <vt:i4>236</vt:i4>
      </vt:variant>
      <vt:variant>
        <vt:i4>0</vt:i4>
      </vt:variant>
      <vt:variant>
        <vt:i4>5</vt:i4>
      </vt:variant>
      <vt:variant>
        <vt:lpwstr/>
      </vt:variant>
      <vt:variant>
        <vt:lpwstr>_Toc144716291</vt:lpwstr>
      </vt:variant>
      <vt:variant>
        <vt:i4>1769526</vt:i4>
      </vt:variant>
      <vt:variant>
        <vt:i4>230</vt:i4>
      </vt:variant>
      <vt:variant>
        <vt:i4>0</vt:i4>
      </vt:variant>
      <vt:variant>
        <vt:i4>5</vt:i4>
      </vt:variant>
      <vt:variant>
        <vt:lpwstr/>
      </vt:variant>
      <vt:variant>
        <vt:lpwstr>_Toc144716290</vt:lpwstr>
      </vt:variant>
      <vt:variant>
        <vt:i4>1703990</vt:i4>
      </vt:variant>
      <vt:variant>
        <vt:i4>224</vt:i4>
      </vt:variant>
      <vt:variant>
        <vt:i4>0</vt:i4>
      </vt:variant>
      <vt:variant>
        <vt:i4>5</vt:i4>
      </vt:variant>
      <vt:variant>
        <vt:lpwstr/>
      </vt:variant>
      <vt:variant>
        <vt:lpwstr>_Toc144716289</vt:lpwstr>
      </vt:variant>
      <vt:variant>
        <vt:i4>1703990</vt:i4>
      </vt:variant>
      <vt:variant>
        <vt:i4>218</vt:i4>
      </vt:variant>
      <vt:variant>
        <vt:i4>0</vt:i4>
      </vt:variant>
      <vt:variant>
        <vt:i4>5</vt:i4>
      </vt:variant>
      <vt:variant>
        <vt:lpwstr/>
      </vt:variant>
      <vt:variant>
        <vt:lpwstr>_Toc144716288</vt:lpwstr>
      </vt:variant>
      <vt:variant>
        <vt:i4>1703990</vt:i4>
      </vt:variant>
      <vt:variant>
        <vt:i4>212</vt:i4>
      </vt:variant>
      <vt:variant>
        <vt:i4>0</vt:i4>
      </vt:variant>
      <vt:variant>
        <vt:i4>5</vt:i4>
      </vt:variant>
      <vt:variant>
        <vt:lpwstr/>
      </vt:variant>
      <vt:variant>
        <vt:lpwstr>_Toc144716287</vt:lpwstr>
      </vt:variant>
      <vt:variant>
        <vt:i4>1703990</vt:i4>
      </vt:variant>
      <vt:variant>
        <vt:i4>206</vt:i4>
      </vt:variant>
      <vt:variant>
        <vt:i4>0</vt:i4>
      </vt:variant>
      <vt:variant>
        <vt:i4>5</vt:i4>
      </vt:variant>
      <vt:variant>
        <vt:lpwstr/>
      </vt:variant>
      <vt:variant>
        <vt:lpwstr>_Toc144716286</vt:lpwstr>
      </vt:variant>
      <vt:variant>
        <vt:i4>1703990</vt:i4>
      </vt:variant>
      <vt:variant>
        <vt:i4>200</vt:i4>
      </vt:variant>
      <vt:variant>
        <vt:i4>0</vt:i4>
      </vt:variant>
      <vt:variant>
        <vt:i4>5</vt:i4>
      </vt:variant>
      <vt:variant>
        <vt:lpwstr/>
      </vt:variant>
      <vt:variant>
        <vt:lpwstr>_Toc144716285</vt:lpwstr>
      </vt:variant>
      <vt:variant>
        <vt:i4>1703990</vt:i4>
      </vt:variant>
      <vt:variant>
        <vt:i4>194</vt:i4>
      </vt:variant>
      <vt:variant>
        <vt:i4>0</vt:i4>
      </vt:variant>
      <vt:variant>
        <vt:i4>5</vt:i4>
      </vt:variant>
      <vt:variant>
        <vt:lpwstr/>
      </vt:variant>
      <vt:variant>
        <vt:lpwstr>_Toc144716284</vt:lpwstr>
      </vt:variant>
      <vt:variant>
        <vt:i4>1703990</vt:i4>
      </vt:variant>
      <vt:variant>
        <vt:i4>188</vt:i4>
      </vt:variant>
      <vt:variant>
        <vt:i4>0</vt:i4>
      </vt:variant>
      <vt:variant>
        <vt:i4>5</vt:i4>
      </vt:variant>
      <vt:variant>
        <vt:lpwstr/>
      </vt:variant>
      <vt:variant>
        <vt:lpwstr>_Toc144716283</vt:lpwstr>
      </vt:variant>
      <vt:variant>
        <vt:i4>1703990</vt:i4>
      </vt:variant>
      <vt:variant>
        <vt:i4>182</vt:i4>
      </vt:variant>
      <vt:variant>
        <vt:i4>0</vt:i4>
      </vt:variant>
      <vt:variant>
        <vt:i4>5</vt:i4>
      </vt:variant>
      <vt:variant>
        <vt:lpwstr/>
      </vt:variant>
      <vt:variant>
        <vt:lpwstr>_Toc144716282</vt:lpwstr>
      </vt:variant>
      <vt:variant>
        <vt:i4>1703990</vt:i4>
      </vt:variant>
      <vt:variant>
        <vt:i4>176</vt:i4>
      </vt:variant>
      <vt:variant>
        <vt:i4>0</vt:i4>
      </vt:variant>
      <vt:variant>
        <vt:i4>5</vt:i4>
      </vt:variant>
      <vt:variant>
        <vt:lpwstr/>
      </vt:variant>
      <vt:variant>
        <vt:lpwstr>_Toc144716281</vt:lpwstr>
      </vt:variant>
      <vt:variant>
        <vt:i4>1703990</vt:i4>
      </vt:variant>
      <vt:variant>
        <vt:i4>170</vt:i4>
      </vt:variant>
      <vt:variant>
        <vt:i4>0</vt:i4>
      </vt:variant>
      <vt:variant>
        <vt:i4>5</vt:i4>
      </vt:variant>
      <vt:variant>
        <vt:lpwstr/>
      </vt:variant>
      <vt:variant>
        <vt:lpwstr>_Toc144716280</vt:lpwstr>
      </vt:variant>
      <vt:variant>
        <vt:i4>1376310</vt:i4>
      </vt:variant>
      <vt:variant>
        <vt:i4>164</vt:i4>
      </vt:variant>
      <vt:variant>
        <vt:i4>0</vt:i4>
      </vt:variant>
      <vt:variant>
        <vt:i4>5</vt:i4>
      </vt:variant>
      <vt:variant>
        <vt:lpwstr/>
      </vt:variant>
      <vt:variant>
        <vt:lpwstr>_Toc144716279</vt:lpwstr>
      </vt:variant>
      <vt:variant>
        <vt:i4>1376310</vt:i4>
      </vt:variant>
      <vt:variant>
        <vt:i4>158</vt:i4>
      </vt:variant>
      <vt:variant>
        <vt:i4>0</vt:i4>
      </vt:variant>
      <vt:variant>
        <vt:i4>5</vt:i4>
      </vt:variant>
      <vt:variant>
        <vt:lpwstr/>
      </vt:variant>
      <vt:variant>
        <vt:lpwstr>_Toc144716278</vt:lpwstr>
      </vt:variant>
      <vt:variant>
        <vt:i4>1376310</vt:i4>
      </vt:variant>
      <vt:variant>
        <vt:i4>152</vt:i4>
      </vt:variant>
      <vt:variant>
        <vt:i4>0</vt:i4>
      </vt:variant>
      <vt:variant>
        <vt:i4>5</vt:i4>
      </vt:variant>
      <vt:variant>
        <vt:lpwstr/>
      </vt:variant>
      <vt:variant>
        <vt:lpwstr>_Toc144716277</vt:lpwstr>
      </vt:variant>
      <vt:variant>
        <vt:i4>1376310</vt:i4>
      </vt:variant>
      <vt:variant>
        <vt:i4>146</vt:i4>
      </vt:variant>
      <vt:variant>
        <vt:i4>0</vt:i4>
      </vt:variant>
      <vt:variant>
        <vt:i4>5</vt:i4>
      </vt:variant>
      <vt:variant>
        <vt:lpwstr/>
      </vt:variant>
      <vt:variant>
        <vt:lpwstr>_Toc144716276</vt:lpwstr>
      </vt:variant>
      <vt:variant>
        <vt:i4>1376310</vt:i4>
      </vt:variant>
      <vt:variant>
        <vt:i4>140</vt:i4>
      </vt:variant>
      <vt:variant>
        <vt:i4>0</vt:i4>
      </vt:variant>
      <vt:variant>
        <vt:i4>5</vt:i4>
      </vt:variant>
      <vt:variant>
        <vt:lpwstr/>
      </vt:variant>
      <vt:variant>
        <vt:lpwstr>_Toc144716275</vt:lpwstr>
      </vt:variant>
      <vt:variant>
        <vt:i4>1376310</vt:i4>
      </vt:variant>
      <vt:variant>
        <vt:i4>134</vt:i4>
      </vt:variant>
      <vt:variant>
        <vt:i4>0</vt:i4>
      </vt:variant>
      <vt:variant>
        <vt:i4>5</vt:i4>
      </vt:variant>
      <vt:variant>
        <vt:lpwstr/>
      </vt:variant>
      <vt:variant>
        <vt:lpwstr>_Toc144716274</vt:lpwstr>
      </vt:variant>
      <vt:variant>
        <vt:i4>1376310</vt:i4>
      </vt:variant>
      <vt:variant>
        <vt:i4>128</vt:i4>
      </vt:variant>
      <vt:variant>
        <vt:i4>0</vt:i4>
      </vt:variant>
      <vt:variant>
        <vt:i4>5</vt:i4>
      </vt:variant>
      <vt:variant>
        <vt:lpwstr/>
      </vt:variant>
      <vt:variant>
        <vt:lpwstr>_Toc144716273</vt:lpwstr>
      </vt:variant>
      <vt:variant>
        <vt:i4>1376310</vt:i4>
      </vt:variant>
      <vt:variant>
        <vt:i4>122</vt:i4>
      </vt:variant>
      <vt:variant>
        <vt:i4>0</vt:i4>
      </vt:variant>
      <vt:variant>
        <vt:i4>5</vt:i4>
      </vt:variant>
      <vt:variant>
        <vt:lpwstr/>
      </vt:variant>
      <vt:variant>
        <vt:lpwstr>_Toc144716272</vt:lpwstr>
      </vt:variant>
      <vt:variant>
        <vt:i4>1376310</vt:i4>
      </vt:variant>
      <vt:variant>
        <vt:i4>116</vt:i4>
      </vt:variant>
      <vt:variant>
        <vt:i4>0</vt:i4>
      </vt:variant>
      <vt:variant>
        <vt:i4>5</vt:i4>
      </vt:variant>
      <vt:variant>
        <vt:lpwstr/>
      </vt:variant>
      <vt:variant>
        <vt:lpwstr>_Toc144716271</vt:lpwstr>
      </vt:variant>
      <vt:variant>
        <vt:i4>1376310</vt:i4>
      </vt:variant>
      <vt:variant>
        <vt:i4>110</vt:i4>
      </vt:variant>
      <vt:variant>
        <vt:i4>0</vt:i4>
      </vt:variant>
      <vt:variant>
        <vt:i4>5</vt:i4>
      </vt:variant>
      <vt:variant>
        <vt:lpwstr/>
      </vt:variant>
      <vt:variant>
        <vt:lpwstr>_Toc144716270</vt:lpwstr>
      </vt:variant>
      <vt:variant>
        <vt:i4>1310774</vt:i4>
      </vt:variant>
      <vt:variant>
        <vt:i4>104</vt:i4>
      </vt:variant>
      <vt:variant>
        <vt:i4>0</vt:i4>
      </vt:variant>
      <vt:variant>
        <vt:i4>5</vt:i4>
      </vt:variant>
      <vt:variant>
        <vt:lpwstr/>
      </vt:variant>
      <vt:variant>
        <vt:lpwstr>_Toc144716269</vt:lpwstr>
      </vt:variant>
      <vt:variant>
        <vt:i4>1310774</vt:i4>
      </vt:variant>
      <vt:variant>
        <vt:i4>98</vt:i4>
      </vt:variant>
      <vt:variant>
        <vt:i4>0</vt:i4>
      </vt:variant>
      <vt:variant>
        <vt:i4>5</vt:i4>
      </vt:variant>
      <vt:variant>
        <vt:lpwstr/>
      </vt:variant>
      <vt:variant>
        <vt:lpwstr>_Toc144716268</vt:lpwstr>
      </vt:variant>
      <vt:variant>
        <vt:i4>1310774</vt:i4>
      </vt:variant>
      <vt:variant>
        <vt:i4>92</vt:i4>
      </vt:variant>
      <vt:variant>
        <vt:i4>0</vt:i4>
      </vt:variant>
      <vt:variant>
        <vt:i4>5</vt:i4>
      </vt:variant>
      <vt:variant>
        <vt:lpwstr/>
      </vt:variant>
      <vt:variant>
        <vt:lpwstr>_Toc144716267</vt:lpwstr>
      </vt:variant>
      <vt:variant>
        <vt:i4>1310774</vt:i4>
      </vt:variant>
      <vt:variant>
        <vt:i4>86</vt:i4>
      </vt:variant>
      <vt:variant>
        <vt:i4>0</vt:i4>
      </vt:variant>
      <vt:variant>
        <vt:i4>5</vt:i4>
      </vt:variant>
      <vt:variant>
        <vt:lpwstr/>
      </vt:variant>
      <vt:variant>
        <vt:lpwstr>_Toc144716266</vt:lpwstr>
      </vt:variant>
      <vt:variant>
        <vt:i4>1310774</vt:i4>
      </vt:variant>
      <vt:variant>
        <vt:i4>80</vt:i4>
      </vt:variant>
      <vt:variant>
        <vt:i4>0</vt:i4>
      </vt:variant>
      <vt:variant>
        <vt:i4>5</vt:i4>
      </vt:variant>
      <vt:variant>
        <vt:lpwstr/>
      </vt:variant>
      <vt:variant>
        <vt:lpwstr>_Toc144716265</vt:lpwstr>
      </vt:variant>
      <vt:variant>
        <vt:i4>1310774</vt:i4>
      </vt:variant>
      <vt:variant>
        <vt:i4>74</vt:i4>
      </vt:variant>
      <vt:variant>
        <vt:i4>0</vt:i4>
      </vt:variant>
      <vt:variant>
        <vt:i4>5</vt:i4>
      </vt:variant>
      <vt:variant>
        <vt:lpwstr/>
      </vt:variant>
      <vt:variant>
        <vt:lpwstr>_Toc144716264</vt:lpwstr>
      </vt:variant>
      <vt:variant>
        <vt:i4>1310774</vt:i4>
      </vt:variant>
      <vt:variant>
        <vt:i4>68</vt:i4>
      </vt:variant>
      <vt:variant>
        <vt:i4>0</vt:i4>
      </vt:variant>
      <vt:variant>
        <vt:i4>5</vt:i4>
      </vt:variant>
      <vt:variant>
        <vt:lpwstr/>
      </vt:variant>
      <vt:variant>
        <vt:lpwstr>_Toc144716263</vt:lpwstr>
      </vt:variant>
      <vt:variant>
        <vt:i4>1310774</vt:i4>
      </vt:variant>
      <vt:variant>
        <vt:i4>62</vt:i4>
      </vt:variant>
      <vt:variant>
        <vt:i4>0</vt:i4>
      </vt:variant>
      <vt:variant>
        <vt:i4>5</vt:i4>
      </vt:variant>
      <vt:variant>
        <vt:lpwstr/>
      </vt:variant>
      <vt:variant>
        <vt:lpwstr>_Toc144716262</vt:lpwstr>
      </vt:variant>
      <vt:variant>
        <vt:i4>1310774</vt:i4>
      </vt:variant>
      <vt:variant>
        <vt:i4>56</vt:i4>
      </vt:variant>
      <vt:variant>
        <vt:i4>0</vt:i4>
      </vt:variant>
      <vt:variant>
        <vt:i4>5</vt:i4>
      </vt:variant>
      <vt:variant>
        <vt:lpwstr/>
      </vt:variant>
      <vt:variant>
        <vt:lpwstr>_Toc144716261</vt:lpwstr>
      </vt:variant>
      <vt:variant>
        <vt:i4>1310774</vt:i4>
      </vt:variant>
      <vt:variant>
        <vt:i4>50</vt:i4>
      </vt:variant>
      <vt:variant>
        <vt:i4>0</vt:i4>
      </vt:variant>
      <vt:variant>
        <vt:i4>5</vt:i4>
      </vt:variant>
      <vt:variant>
        <vt:lpwstr/>
      </vt:variant>
      <vt:variant>
        <vt:lpwstr>_Toc144716260</vt:lpwstr>
      </vt:variant>
      <vt:variant>
        <vt:i4>1507382</vt:i4>
      </vt:variant>
      <vt:variant>
        <vt:i4>44</vt:i4>
      </vt:variant>
      <vt:variant>
        <vt:i4>0</vt:i4>
      </vt:variant>
      <vt:variant>
        <vt:i4>5</vt:i4>
      </vt:variant>
      <vt:variant>
        <vt:lpwstr/>
      </vt:variant>
      <vt:variant>
        <vt:lpwstr>_Toc144716259</vt:lpwstr>
      </vt:variant>
      <vt:variant>
        <vt:i4>1507382</vt:i4>
      </vt:variant>
      <vt:variant>
        <vt:i4>38</vt:i4>
      </vt:variant>
      <vt:variant>
        <vt:i4>0</vt:i4>
      </vt:variant>
      <vt:variant>
        <vt:i4>5</vt:i4>
      </vt:variant>
      <vt:variant>
        <vt:lpwstr/>
      </vt:variant>
      <vt:variant>
        <vt:lpwstr>_Toc144716258</vt:lpwstr>
      </vt:variant>
      <vt:variant>
        <vt:i4>1507382</vt:i4>
      </vt:variant>
      <vt:variant>
        <vt:i4>32</vt:i4>
      </vt:variant>
      <vt:variant>
        <vt:i4>0</vt:i4>
      </vt:variant>
      <vt:variant>
        <vt:i4>5</vt:i4>
      </vt:variant>
      <vt:variant>
        <vt:lpwstr/>
      </vt:variant>
      <vt:variant>
        <vt:lpwstr>_Toc144716257</vt:lpwstr>
      </vt:variant>
      <vt:variant>
        <vt:i4>1507382</vt:i4>
      </vt:variant>
      <vt:variant>
        <vt:i4>26</vt:i4>
      </vt:variant>
      <vt:variant>
        <vt:i4>0</vt:i4>
      </vt:variant>
      <vt:variant>
        <vt:i4>5</vt:i4>
      </vt:variant>
      <vt:variant>
        <vt:lpwstr/>
      </vt:variant>
      <vt:variant>
        <vt:lpwstr>_Toc144716256</vt:lpwstr>
      </vt:variant>
      <vt:variant>
        <vt:i4>1507382</vt:i4>
      </vt:variant>
      <vt:variant>
        <vt:i4>20</vt:i4>
      </vt:variant>
      <vt:variant>
        <vt:i4>0</vt:i4>
      </vt:variant>
      <vt:variant>
        <vt:i4>5</vt:i4>
      </vt:variant>
      <vt:variant>
        <vt:lpwstr/>
      </vt:variant>
      <vt:variant>
        <vt:lpwstr>_Toc144716255</vt:lpwstr>
      </vt:variant>
      <vt:variant>
        <vt:i4>1507382</vt:i4>
      </vt:variant>
      <vt:variant>
        <vt:i4>14</vt:i4>
      </vt:variant>
      <vt:variant>
        <vt:i4>0</vt:i4>
      </vt:variant>
      <vt:variant>
        <vt:i4>5</vt:i4>
      </vt:variant>
      <vt:variant>
        <vt:lpwstr/>
      </vt:variant>
      <vt:variant>
        <vt:lpwstr>_Toc144716254</vt:lpwstr>
      </vt:variant>
      <vt:variant>
        <vt:i4>1507382</vt:i4>
      </vt:variant>
      <vt:variant>
        <vt:i4>8</vt:i4>
      </vt:variant>
      <vt:variant>
        <vt:i4>0</vt:i4>
      </vt:variant>
      <vt:variant>
        <vt:i4>5</vt:i4>
      </vt:variant>
      <vt:variant>
        <vt:lpwstr/>
      </vt:variant>
      <vt:variant>
        <vt:lpwstr>_Toc144716253</vt:lpwstr>
      </vt:variant>
      <vt:variant>
        <vt:i4>5308417</vt:i4>
      </vt:variant>
      <vt:variant>
        <vt:i4>3</vt:i4>
      </vt:variant>
      <vt:variant>
        <vt:i4>0</vt:i4>
      </vt:variant>
      <vt:variant>
        <vt:i4>5</vt:i4>
      </vt:variant>
      <vt:variant>
        <vt:lpwstr>http://www.envclinic.org/</vt:lpwstr>
      </vt:variant>
      <vt:variant>
        <vt:lpwstr/>
      </vt:variant>
      <vt:variant>
        <vt:i4>720950</vt:i4>
      </vt:variant>
      <vt:variant>
        <vt:i4>0</vt:i4>
      </vt:variant>
      <vt:variant>
        <vt:i4>0</vt:i4>
      </vt:variant>
      <vt:variant>
        <vt:i4>5</vt:i4>
      </vt:variant>
      <vt:variant>
        <vt:lpwstr>mailto:mandelh@mail.biu.ac.il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creator>Shiri &amp; Nadav</dc:creator>
  <cp:lastModifiedBy>mypc</cp:lastModifiedBy>
  <cp:revision>2</cp:revision>
  <dcterms:created xsi:type="dcterms:W3CDTF">2012-07-15T12:54:00Z</dcterms:created>
  <dcterms:modified xsi:type="dcterms:W3CDTF">2012-07-15T12:54:00Z</dcterms:modified>
</cp:coreProperties>
</file>